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b/>
          <w:bCs/>
          <w:color w:val="auto"/>
          <w:sz w:val="72"/>
          <w:szCs w:val="72"/>
        </w:rPr>
      </w:pPr>
      <w:bookmarkStart w:id="1" w:name="_Toc15396475"/>
      <w:bookmarkStart w:id="2" w:name="_Toc15396597"/>
      <w:bookmarkStart w:id="3" w:name="_Toc10590"/>
      <w:bookmarkStart w:id="4" w:name="_Toc5315"/>
      <w:bookmarkStart w:id="5" w:name="_Toc15377193"/>
      <w:bookmarkStart w:id="6" w:name="_Toc30914"/>
      <w:bookmarkStart w:id="7" w:name="_Toc15378441"/>
      <w:bookmarkStart w:id="8" w:name="_Toc19004"/>
      <w:bookmarkStart w:id="9" w:name="_Toc15377425"/>
      <w:r>
        <w:rPr>
          <w:rFonts w:ascii="黑体" w:hAnsi="黑体" w:eastAsia="黑体"/>
          <w:b/>
          <w:bCs/>
          <w:color w:val="auto"/>
          <w:sz w:val="72"/>
          <w:szCs w:val="72"/>
        </w:rPr>
        <w:t>20</w:t>
      </w:r>
      <w:r>
        <w:rPr>
          <w:rFonts w:hint="eastAsia" w:ascii="黑体" w:hAnsi="黑体" w:eastAsia="黑体"/>
          <w:b/>
          <w:bCs/>
          <w:color w:val="auto"/>
          <w:sz w:val="72"/>
          <w:szCs w:val="72"/>
          <w:lang w:val="en-US" w:eastAsia="zh-CN"/>
        </w:rPr>
        <w:t>20</w:t>
      </w:r>
      <w:r>
        <w:rPr>
          <w:rFonts w:hint="eastAsia" w:ascii="方正小标宋简体" w:hAnsi="宋体" w:eastAsia="方正小标宋简体"/>
          <w:b/>
          <w:bCs/>
          <w:color w:val="auto"/>
          <w:sz w:val="72"/>
          <w:szCs w:val="72"/>
        </w:rPr>
        <w:t>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方正小标宋简体" w:hAnsi="宋体" w:eastAsia="方正小标宋简体"/>
          <w:b/>
          <w:bCs/>
          <w:color w:val="auto"/>
          <w:sz w:val="72"/>
          <w:szCs w:val="72"/>
        </w:rPr>
      </w:pPr>
      <w:bookmarkStart w:id="10" w:name="_Toc6451"/>
      <w:bookmarkStart w:id="11" w:name="_Toc15396476"/>
      <w:bookmarkStart w:id="12" w:name="_Toc15396598"/>
      <w:bookmarkStart w:id="13" w:name="_Toc15378442"/>
      <w:bookmarkStart w:id="14" w:name="_Toc12341"/>
      <w:bookmarkStart w:id="15" w:name="_Toc15377426"/>
      <w:bookmarkStart w:id="16" w:name="_Toc27453"/>
      <w:bookmarkStart w:id="17" w:name="_Toc4833"/>
      <w:bookmarkStart w:id="18" w:name="_Toc15377194"/>
      <w:r>
        <w:rPr>
          <w:rFonts w:hint="eastAsia" w:ascii="方正小标宋简体" w:hAnsi="宋体" w:eastAsia="方正小标宋简体"/>
          <w:b/>
          <w:bCs/>
          <w:color w:val="auto"/>
          <w:sz w:val="72"/>
          <w:szCs w:val="72"/>
        </w:rPr>
        <w:t>四川省</w:t>
      </w:r>
      <w:bookmarkEnd w:id="0"/>
      <w:bookmarkStart w:id="19" w:name="_Toc15306268"/>
      <w:r>
        <w:rPr>
          <w:rFonts w:hint="eastAsia" w:ascii="方正小标宋简体" w:hAnsi="宋体" w:eastAsia="方正小标宋简体"/>
          <w:b/>
          <w:bCs/>
          <w:color w:val="auto"/>
          <w:sz w:val="72"/>
          <w:szCs w:val="72"/>
          <w:lang w:eastAsia="zh-CN"/>
        </w:rPr>
        <w:t>地矿局成都水文队单位</w:t>
      </w:r>
      <w:r>
        <w:rPr>
          <w:rFonts w:hint="eastAsia" w:ascii="方正小标宋简体" w:hAnsi="宋体" w:eastAsia="方正小标宋简体"/>
          <w:b/>
          <w:bCs/>
          <w:color w:val="auto"/>
          <w:sz w:val="72"/>
          <w:szCs w:val="72"/>
        </w:rPr>
        <w:t>决算</w:t>
      </w:r>
      <w:bookmarkEnd w:id="10"/>
      <w:bookmarkEnd w:id="11"/>
      <w:bookmarkEnd w:id="12"/>
      <w:bookmarkEnd w:id="13"/>
      <w:bookmarkEnd w:id="14"/>
      <w:bookmarkEnd w:id="15"/>
      <w:bookmarkEnd w:id="16"/>
      <w:bookmarkEnd w:id="17"/>
      <w:bookmarkEnd w:id="18"/>
      <w:bookmarkEnd w:id="19"/>
    </w:p>
    <w:p>
      <w:pPr>
        <w:adjustRightInd w:val="0"/>
        <w:snapToGrid w:val="0"/>
        <w:spacing w:line="360" w:lineRule="auto"/>
        <w:jc w:val="center"/>
        <w:outlineLvl w:val="0"/>
        <w:rPr>
          <w:rFonts w:ascii="方正小标宋简体" w:hAnsi="宋体" w:eastAsia="方正小标宋简体"/>
          <w:color w:val="auto"/>
          <w:sz w:val="32"/>
          <w:szCs w:val="32"/>
        </w:rPr>
      </w:pPr>
    </w:p>
    <w:p>
      <w:pPr>
        <w:pStyle w:val="10"/>
        <w:adjustRightInd w:val="0"/>
        <w:snapToGrid w:val="0"/>
        <w:spacing w:before="0" w:line="440" w:lineRule="exact"/>
        <w:ind w:firstLine="0" w:firstLineChars="0"/>
        <w:jc w:val="left"/>
        <w:rPr>
          <w:rFonts w:hint="eastAsia"/>
          <w:color w:val="auto"/>
          <w:sz w:val="24"/>
          <w:lang w:eastAsia="zh-CN"/>
        </w:rPr>
        <w:sectPr>
          <w:pgSz w:w="11906" w:h="16838"/>
          <w:pgMar w:top="1440" w:right="1800" w:bottom="1440" w:left="1800" w:header="851" w:footer="992" w:gutter="0"/>
          <w:pgNumType w:fmt="decimal"/>
          <w:cols w:space="425" w:num="1"/>
          <w:docGrid w:type="lines" w:linePitch="312" w:charSpace="0"/>
        </w:sectPr>
      </w:pPr>
    </w:p>
    <w:p>
      <w:pPr>
        <w:widowControl/>
        <w:jc w:val="center"/>
        <w:rPr>
          <w:rFonts w:hint="eastAsia" w:ascii="黑体" w:hAnsi="黑体" w:eastAsia="黑体"/>
          <w:color w:val="auto"/>
          <w:sz w:val="32"/>
          <w:szCs w:val="32"/>
        </w:rPr>
      </w:pPr>
      <w:r>
        <w:rPr>
          <w:rFonts w:hint="eastAsia" w:ascii="黑体" w:hAnsi="黑体" w:eastAsia="黑体"/>
          <w:color w:val="auto"/>
          <w:sz w:val="44"/>
          <w:szCs w:val="44"/>
        </w:rPr>
        <w:t>目</w:t>
      </w:r>
      <w:r>
        <w:rPr>
          <w:rFonts w:hint="eastAsia" w:ascii="黑体" w:hAnsi="黑体" w:eastAsia="黑体"/>
          <w:color w:val="auto"/>
          <w:sz w:val="44"/>
          <w:szCs w:val="44"/>
          <w:lang w:val="en-US" w:eastAsia="zh-CN"/>
        </w:rPr>
        <w:t xml:space="preserve"> </w:t>
      </w:r>
      <w:r>
        <w:rPr>
          <w:rFonts w:hint="eastAsia" w:ascii="黑体" w:hAnsi="黑体" w:eastAsia="黑体"/>
          <w:color w:val="auto"/>
          <w:sz w:val="44"/>
          <w:szCs w:val="44"/>
        </w:rPr>
        <w:t>录</w:t>
      </w:r>
    </w:p>
    <w:p>
      <w:pPr>
        <w:pStyle w:val="2"/>
        <w:rPr>
          <w:rFonts w:hint="eastAsia"/>
        </w:rPr>
      </w:pPr>
    </w:p>
    <w:p>
      <w:pPr>
        <w:pStyle w:val="10"/>
        <w:adjustRightInd w:val="0"/>
        <w:snapToGrid w:val="0"/>
        <w:spacing w:before="0" w:line="440" w:lineRule="exact"/>
        <w:ind w:firstLine="2240" w:firstLineChars="800"/>
        <w:jc w:val="left"/>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r>
        <w:rPr>
          <w:rFonts w:ascii="黑体" w:hAnsi="黑体" w:eastAsia="黑体" w:cstheme="minorBidi"/>
          <w:color w:val="auto"/>
          <w:sz w:val="28"/>
          <w:szCs w:val="28"/>
        </w:rPr>
        <w:fldChar w:fldCharType="begin"/>
      </w:r>
      <w:r>
        <w:rPr>
          <w:rFonts w:ascii="黑体" w:hAnsi="黑体" w:eastAsia="黑体" w:cstheme="minorBidi"/>
          <w:color w:val="auto"/>
          <w:sz w:val="28"/>
          <w:szCs w:val="28"/>
        </w:rPr>
        <w:instrText xml:space="preserve">TOC \o "1-2" \h \u </w:instrText>
      </w:r>
      <w:r>
        <w:rPr>
          <w:rFonts w:ascii="黑体" w:hAnsi="黑体" w:eastAsia="黑体" w:cstheme="minorBidi"/>
          <w:color w:val="auto"/>
          <w:sz w:val="28"/>
          <w:szCs w:val="28"/>
        </w:rPr>
        <w:fldChar w:fldCharType="separate"/>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_Toc25359 </w:instrText>
      </w:r>
      <w:r>
        <w:rPr>
          <w:rFonts w:ascii="黑体" w:hAnsi="黑体" w:eastAsia="黑体" w:cstheme="minorBidi"/>
          <w:szCs w:val="28"/>
        </w:rPr>
        <w:fldChar w:fldCharType="separate"/>
      </w:r>
      <w:r>
        <w:rPr>
          <w:rFonts w:hint="eastAsia" w:ascii="黑体" w:hAnsi="黑体" w:eastAsia="黑体"/>
        </w:rPr>
        <w:t xml:space="preserve">第一部分 </w:t>
      </w:r>
      <w:r>
        <w:rPr>
          <w:rFonts w:hint="eastAsia" w:ascii="黑体" w:hAnsi="黑体" w:eastAsia="黑体"/>
          <w:lang w:eastAsia="zh-CN"/>
        </w:rPr>
        <w:t>单位</w:t>
      </w:r>
      <w:r>
        <w:rPr>
          <w:rFonts w:hint="eastAsia" w:ascii="黑体" w:hAnsi="黑体" w:eastAsia="黑体"/>
          <w:bCs w:val="0"/>
        </w:rPr>
        <w:t>概况</w:t>
      </w:r>
      <w:r>
        <w:tab/>
      </w:r>
      <w:r>
        <w:fldChar w:fldCharType="begin"/>
      </w:r>
      <w:r>
        <w:instrText xml:space="preserve"> PAGEREF _Toc25359 \h </w:instrText>
      </w:r>
      <w:r>
        <w:fldChar w:fldCharType="separate"/>
      </w:r>
      <w:r>
        <w:t>1</w:t>
      </w:r>
      <w:r>
        <w:fldChar w:fldCharType="end"/>
      </w:r>
      <w:r>
        <w:rPr>
          <w:rFonts w:ascii="黑体" w:hAnsi="黑体" w:eastAsia="黑体" w:cstheme="minorBidi"/>
          <w:color w:val="auto"/>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_Toc14417 </w:instrText>
      </w:r>
      <w:r>
        <w:rPr>
          <w:rFonts w:hint="eastAsia" w:ascii="仿宋" w:hAnsi="仿宋" w:eastAsia="仿宋" w:cs="Times New Roman"/>
          <w:sz w:val="28"/>
          <w:szCs w:val="28"/>
        </w:rPr>
        <w:fldChar w:fldCharType="separate"/>
      </w:r>
      <w:r>
        <w:rPr>
          <w:rFonts w:hint="eastAsia"/>
          <w:sz w:val="28"/>
          <w:szCs w:val="28"/>
        </w:rPr>
        <w:t xml:space="preserve">一、 </w:t>
      </w:r>
      <w:r>
        <w:rPr>
          <w:rFonts w:hint="eastAsia" w:ascii="仿宋" w:hAnsi="仿宋" w:eastAsia="仿宋"/>
          <w:bCs w:val="0"/>
          <w:sz w:val="28"/>
          <w:szCs w:val="28"/>
        </w:rPr>
        <w:t>职能</w:t>
      </w:r>
      <w:r>
        <w:rPr>
          <w:rFonts w:hint="eastAsia" w:ascii="仿宋" w:hAnsi="仿宋" w:eastAsia="仿宋"/>
          <w:bCs w:val="0"/>
          <w:sz w:val="28"/>
          <w:szCs w:val="28"/>
          <w:lang w:eastAsia="zh-CN"/>
        </w:rPr>
        <w:t>简介</w:t>
      </w:r>
      <w:r>
        <w:rPr>
          <w:rFonts w:hint="eastAsia"/>
          <w:sz w:val="28"/>
          <w:szCs w:val="28"/>
        </w:rPr>
        <w:tab/>
      </w:r>
      <w:r>
        <w:rPr>
          <w:rFonts w:hint="eastAsia"/>
          <w:sz w:val="28"/>
          <w:szCs w:val="28"/>
        </w:rPr>
        <w:fldChar w:fldCharType="begin"/>
      </w:r>
      <w:r>
        <w:rPr>
          <w:rFonts w:hint="eastAsia"/>
          <w:sz w:val="28"/>
          <w:szCs w:val="28"/>
        </w:rPr>
        <w:instrText xml:space="preserve"> PAGEREF _Toc14417 \h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_Toc25420 </w:instrText>
      </w:r>
      <w:r>
        <w:rPr>
          <w:rFonts w:hint="eastAsia" w:ascii="仿宋" w:hAnsi="仿宋" w:eastAsia="仿宋" w:cs="Times New Roman"/>
          <w:sz w:val="28"/>
          <w:szCs w:val="28"/>
        </w:rPr>
        <w:fldChar w:fldCharType="separate"/>
      </w:r>
      <w:r>
        <w:rPr>
          <w:rFonts w:hint="eastAsia" w:ascii="仿宋" w:hAnsi="仿宋" w:eastAsia="仿宋"/>
          <w:sz w:val="28"/>
          <w:szCs w:val="28"/>
        </w:rPr>
        <w:t xml:space="preserve">二、 </w:t>
      </w:r>
      <w:r>
        <w:rPr>
          <w:rFonts w:hint="eastAsia" w:ascii="仿宋" w:hAnsi="仿宋" w:eastAsia="仿宋"/>
          <w:bCs w:val="0"/>
          <w:sz w:val="28"/>
          <w:szCs w:val="28"/>
          <w:highlight w:val="none"/>
          <w:lang w:val="en-US" w:eastAsia="zh-CN"/>
        </w:rPr>
        <w:t>2020年重点</w:t>
      </w:r>
      <w:r>
        <w:rPr>
          <w:rFonts w:hint="eastAsia" w:ascii="仿宋" w:hAnsi="仿宋" w:eastAsia="仿宋"/>
          <w:bCs w:val="0"/>
          <w:sz w:val="28"/>
          <w:szCs w:val="28"/>
          <w:highlight w:val="none"/>
        </w:rPr>
        <w:t>工作</w:t>
      </w:r>
      <w:r>
        <w:rPr>
          <w:rFonts w:hint="eastAsia" w:ascii="仿宋" w:hAnsi="仿宋" w:eastAsia="仿宋"/>
          <w:bCs w:val="0"/>
          <w:sz w:val="28"/>
          <w:szCs w:val="28"/>
          <w:highlight w:val="none"/>
          <w:lang w:eastAsia="zh-CN"/>
        </w:rPr>
        <w:t>完成情况</w:t>
      </w:r>
      <w:r>
        <w:rPr>
          <w:rFonts w:hint="eastAsia"/>
          <w:sz w:val="28"/>
          <w:szCs w:val="28"/>
        </w:rPr>
        <w:tab/>
      </w:r>
      <w:r>
        <w:rPr>
          <w:rFonts w:hint="eastAsia"/>
          <w:sz w:val="28"/>
          <w:szCs w:val="28"/>
        </w:rPr>
        <w:fldChar w:fldCharType="begin"/>
      </w:r>
      <w:r>
        <w:rPr>
          <w:rFonts w:hint="eastAsia"/>
          <w:sz w:val="28"/>
          <w:szCs w:val="28"/>
        </w:rPr>
        <w:instrText xml:space="preserve"> PAGEREF _Toc25420 \h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_Toc109 </w:instrText>
      </w:r>
      <w:r>
        <w:rPr>
          <w:rFonts w:ascii="黑体" w:hAnsi="黑体" w:eastAsia="黑体" w:cstheme="minorBidi"/>
          <w:szCs w:val="28"/>
        </w:rPr>
        <w:fldChar w:fldCharType="separate"/>
      </w:r>
      <w:r>
        <w:rPr>
          <w:rFonts w:hint="eastAsia" w:ascii="黑体" w:hAnsi="黑体" w:eastAsia="黑体"/>
          <w:bCs/>
        </w:rPr>
        <w:t xml:space="preserve">第二部分 </w:t>
      </w:r>
      <w:r>
        <w:rPr>
          <w:rFonts w:hint="eastAsia" w:ascii="黑体" w:hAnsi="黑体" w:eastAsia="黑体"/>
          <w:bCs/>
          <w:lang w:val="en-US" w:eastAsia="zh-CN"/>
        </w:rPr>
        <w:t>2020年度</w:t>
      </w:r>
      <w:r>
        <w:rPr>
          <w:rFonts w:hint="eastAsia" w:ascii="黑体" w:hAnsi="黑体" w:eastAsia="黑体"/>
          <w:bCs/>
          <w:lang w:eastAsia="zh-CN"/>
        </w:rPr>
        <w:t>单位</w:t>
      </w:r>
      <w:r>
        <w:rPr>
          <w:rFonts w:hint="eastAsia" w:ascii="黑体" w:hAnsi="黑体" w:eastAsia="黑体"/>
          <w:bCs/>
        </w:rPr>
        <w:t>决算情况说明</w:t>
      </w:r>
      <w:r>
        <w:tab/>
      </w:r>
      <w:r>
        <w:fldChar w:fldCharType="begin"/>
      </w:r>
      <w:r>
        <w:instrText xml:space="preserve"> PAGEREF _Toc109 \h </w:instrText>
      </w:r>
      <w:r>
        <w:fldChar w:fldCharType="separate"/>
      </w:r>
      <w:r>
        <w:t>3</w:t>
      </w:r>
      <w:r>
        <w:fldChar w:fldCharType="end"/>
      </w:r>
      <w:r>
        <w:rPr>
          <w:rFonts w:ascii="黑体" w:hAnsi="黑体" w:eastAsia="黑体" w:cstheme="minorBidi"/>
          <w:color w:val="auto"/>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_Toc4521 </w:instrText>
      </w:r>
      <w:r>
        <w:rPr>
          <w:rFonts w:hint="eastAsia" w:ascii="仿宋" w:hAnsi="仿宋" w:eastAsia="仿宋" w:cs="Times New Roman"/>
          <w:sz w:val="28"/>
          <w:szCs w:val="28"/>
        </w:rPr>
        <w:fldChar w:fldCharType="separate"/>
      </w:r>
      <w:r>
        <w:rPr>
          <w:rFonts w:hint="eastAsia" w:ascii="仿宋" w:hAnsi="仿宋" w:eastAsia="仿宋"/>
          <w:sz w:val="28"/>
          <w:szCs w:val="28"/>
        </w:rPr>
        <w:t>一、 收入支出决算总体情况说明</w:t>
      </w:r>
      <w:r>
        <w:rPr>
          <w:rFonts w:hint="eastAsia"/>
          <w:sz w:val="28"/>
          <w:szCs w:val="28"/>
        </w:rPr>
        <w:tab/>
      </w:r>
      <w:r>
        <w:rPr>
          <w:rFonts w:hint="eastAsia"/>
          <w:sz w:val="28"/>
          <w:szCs w:val="28"/>
        </w:rPr>
        <w:fldChar w:fldCharType="begin"/>
      </w:r>
      <w:r>
        <w:rPr>
          <w:rFonts w:hint="eastAsia"/>
          <w:sz w:val="28"/>
          <w:szCs w:val="28"/>
        </w:rPr>
        <w:instrText xml:space="preserve"> PAGEREF _Toc4521 \h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_Toc31551 </w:instrText>
      </w:r>
      <w:r>
        <w:rPr>
          <w:rFonts w:hint="eastAsia" w:ascii="仿宋" w:hAnsi="仿宋" w:eastAsia="仿宋" w:cs="Times New Roman"/>
          <w:sz w:val="28"/>
          <w:szCs w:val="28"/>
        </w:rPr>
        <w:fldChar w:fldCharType="separate"/>
      </w:r>
      <w:r>
        <w:rPr>
          <w:rFonts w:hint="eastAsia" w:ascii="仿宋" w:hAnsi="仿宋" w:eastAsia="仿宋"/>
          <w:sz w:val="28"/>
          <w:szCs w:val="28"/>
        </w:rPr>
        <w:t>二、 收入决算情况说明</w:t>
      </w:r>
      <w:r>
        <w:rPr>
          <w:rFonts w:hint="eastAsia"/>
          <w:sz w:val="28"/>
          <w:szCs w:val="28"/>
        </w:rPr>
        <w:tab/>
      </w:r>
      <w:r>
        <w:rPr>
          <w:rFonts w:hint="eastAsia"/>
          <w:sz w:val="28"/>
          <w:szCs w:val="28"/>
        </w:rPr>
        <w:fldChar w:fldCharType="begin"/>
      </w:r>
      <w:r>
        <w:rPr>
          <w:rFonts w:hint="eastAsia"/>
          <w:sz w:val="28"/>
          <w:szCs w:val="28"/>
        </w:rPr>
        <w:instrText xml:space="preserve"> PAGEREF _Toc31551 \h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_Toc23203 </w:instrText>
      </w:r>
      <w:r>
        <w:rPr>
          <w:rFonts w:hint="eastAsia" w:ascii="仿宋" w:hAnsi="仿宋" w:eastAsia="仿宋" w:cs="Times New Roman"/>
          <w:sz w:val="28"/>
          <w:szCs w:val="28"/>
        </w:rPr>
        <w:fldChar w:fldCharType="separate"/>
      </w:r>
      <w:r>
        <w:rPr>
          <w:rFonts w:hint="eastAsia" w:ascii="仿宋" w:hAnsi="仿宋" w:eastAsia="仿宋"/>
          <w:sz w:val="28"/>
          <w:szCs w:val="28"/>
        </w:rPr>
        <w:t>三、 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_Toc23203 \h </w:instrText>
      </w:r>
      <w:r>
        <w:rPr>
          <w:rFonts w:hint="eastAsia"/>
          <w:sz w:val="28"/>
          <w:szCs w:val="28"/>
        </w:rPr>
        <w:fldChar w:fldCharType="separate"/>
      </w:r>
      <w:r>
        <w:rPr>
          <w:rFonts w:hint="eastAsia"/>
          <w:sz w:val="28"/>
          <w:szCs w:val="28"/>
        </w:rPr>
        <w:t>4</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_Toc5559 </w:instrText>
      </w:r>
      <w:r>
        <w:rPr>
          <w:rFonts w:hint="eastAsia" w:ascii="仿宋" w:hAnsi="仿宋" w:eastAsia="仿宋" w:cs="Times New Roman"/>
          <w:sz w:val="28"/>
          <w:szCs w:val="28"/>
        </w:rPr>
        <w:fldChar w:fldCharType="separate"/>
      </w:r>
      <w:r>
        <w:rPr>
          <w:rFonts w:hint="eastAsia" w:ascii="仿宋" w:hAnsi="仿宋" w:eastAsia="仿宋"/>
          <w:sz w:val="28"/>
          <w:szCs w:val="28"/>
        </w:rPr>
        <w:t>四、财政拨款收入支出决算总体情况说明</w:t>
      </w:r>
      <w:r>
        <w:rPr>
          <w:rFonts w:hint="eastAsia"/>
          <w:sz w:val="28"/>
          <w:szCs w:val="28"/>
        </w:rPr>
        <w:tab/>
      </w:r>
      <w:r>
        <w:rPr>
          <w:rFonts w:hint="eastAsia"/>
          <w:sz w:val="28"/>
          <w:szCs w:val="28"/>
        </w:rPr>
        <w:fldChar w:fldCharType="begin"/>
      </w:r>
      <w:r>
        <w:rPr>
          <w:rFonts w:hint="eastAsia"/>
          <w:sz w:val="28"/>
          <w:szCs w:val="28"/>
        </w:rPr>
        <w:instrText xml:space="preserve"> PAGEREF _Toc5559 \h </w:instrText>
      </w:r>
      <w:r>
        <w:rPr>
          <w:rFonts w:hint="eastAsia"/>
          <w:sz w:val="28"/>
          <w:szCs w:val="28"/>
        </w:rPr>
        <w:fldChar w:fldCharType="separate"/>
      </w:r>
      <w:r>
        <w:rPr>
          <w:rFonts w:hint="eastAsia"/>
          <w:sz w:val="28"/>
          <w:szCs w:val="28"/>
        </w:rPr>
        <w:t>5</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_Toc30828 </w:instrText>
      </w:r>
      <w:r>
        <w:rPr>
          <w:rFonts w:hint="eastAsia" w:ascii="仿宋" w:hAnsi="仿宋" w:eastAsia="仿宋" w:cs="Times New Roman"/>
          <w:sz w:val="28"/>
          <w:szCs w:val="28"/>
        </w:rPr>
        <w:fldChar w:fldCharType="separate"/>
      </w:r>
      <w:r>
        <w:rPr>
          <w:rFonts w:hint="eastAsia" w:ascii="仿宋" w:hAnsi="仿宋" w:eastAsia="仿宋"/>
          <w:sz w:val="28"/>
          <w:szCs w:val="28"/>
        </w:rPr>
        <w:t>五、一般公共预算财政拨款支出决算情况说明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_Toc30828 \h </w:instrText>
      </w:r>
      <w:r>
        <w:rPr>
          <w:rFonts w:hint="eastAsia"/>
          <w:sz w:val="28"/>
          <w:szCs w:val="28"/>
        </w:rPr>
        <w:fldChar w:fldCharType="separate"/>
      </w:r>
      <w:r>
        <w:rPr>
          <w:rFonts w:hint="eastAsia"/>
          <w:sz w:val="28"/>
          <w:szCs w:val="28"/>
        </w:rPr>
        <w:t>5</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_Toc1260 </w:instrText>
      </w:r>
      <w:r>
        <w:rPr>
          <w:rFonts w:hint="eastAsia" w:ascii="仿宋" w:hAnsi="仿宋" w:eastAsia="仿宋" w:cs="Times New Roman"/>
          <w:sz w:val="28"/>
          <w:szCs w:val="28"/>
        </w:rPr>
        <w:fldChar w:fldCharType="separate"/>
      </w:r>
      <w:r>
        <w:rPr>
          <w:rFonts w:hint="eastAsia" w:ascii="仿宋" w:eastAsia="仿宋"/>
          <w:sz w:val="28"/>
          <w:szCs w:val="28"/>
        </w:rPr>
        <w:t>六、</w:t>
      </w:r>
      <w:r>
        <w:rPr>
          <w:rFonts w:hint="eastAsia" w:ascii="仿宋" w:hAnsi="仿宋" w:eastAsia="仿宋"/>
          <w:sz w:val="28"/>
          <w:szCs w:val="28"/>
        </w:rPr>
        <w:t>一般公共预算财政拨款基本支出决算情况说明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_Toc1260 \h </w:instrText>
      </w:r>
      <w:r>
        <w:rPr>
          <w:rFonts w:hint="eastAsia"/>
          <w:sz w:val="28"/>
          <w:szCs w:val="28"/>
        </w:rPr>
        <w:fldChar w:fldCharType="separate"/>
      </w:r>
      <w:r>
        <w:rPr>
          <w:rFonts w:hint="eastAsia"/>
          <w:sz w:val="28"/>
          <w:szCs w:val="28"/>
        </w:rPr>
        <w:t>7</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_Toc15423 </w:instrText>
      </w:r>
      <w:r>
        <w:rPr>
          <w:rFonts w:hint="eastAsia" w:ascii="仿宋" w:hAnsi="仿宋" w:eastAsia="仿宋" w:cs="Times New Roman"/>
          <w:sz w:val="28"/>
          <w:szCs w:val="28"/>
        </w:rPr>
        <w:fldChar w:fldCharType="separate"/>
      </w:r>
      <w:r>
        <w:rPr>
          <w:rFonts w:hint="eastAsia" w:ascii="仿宋" w:eastAsia="仿宋"/>
          <w:sz w:val="28"/>
          <w:szCs w:val="28"/>
        </w:rPr>
        <w:t>七、</w:t>
      </w:r>
      <w:r>
        <w:rPr>
          <w:rFonts w:hint="eastAsia" w:ascii="仿宋" w:hAnsi="仿宋" w:eastAsia="仿宋"/>
          <w:sz w:val="28"/>
          <w:szCs w:val="28"/>
        </w:rPr>
        <w:t>“三公”经费财政拨款支出决算情况说明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_Toc15423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_Toc14606 </w:instrText>
      </w:r>
      <w:r>
        <w:rPr>
          <w:rFonts w:hint="eastAsia" w:ascii="仿宋" w:hAnsi="仿宋" w:eastAsia="仿宋" w:cs="Times New Roman"/>
          <w:sz w:val="28"/>
          <w:szCs w:val="28"/>
        </w:rPr>
        <w:fldChar w:fldCharType="separate"/>
      </w:r>
      <w:r>
        <w:rPr>
          <w:rFonts w:hint="eastAsia" w:ascii="仿宋" w:eastAsia="仿宋"/>
          <w:sz w:val="28"/>
          <w:szCs w:val="28"/>
        </w:rPr>
        <w:t>八、</w:t>
      </w:r>
      <w:r>
        <w:rPr>
          <w:rFonts w:hint="eastAsia" w:ascii="仿宋" w:hAnsi="仿宋" w:eastAsia="仿宋"/>
          <w:sz w:val="28"/>
          <w:szCs w:val="28"/>
        </w:rPr>
        <w:t>政府性基金预算支出决算情况说明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_Toc14606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rFonts w:hint="eastAsia"/>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_Toc24870 </w:instrText>
      </w:r>
      <w:r>
        <w:rPr>
          <w:rFonts w:hint="eastAsia" w:ascii="仿宋" w:hAnsi="仿宋" w:eastAsia="仿宋" w:cs="Times New Roman"/>
          <w:sz w:val="28"/>
          <w:szCs w:val="28"/>
        </w:rPr>
        <w:fldChar w:fldCharType="separate"/>
      </w:r>
      <w:r>
        <w:rPr>
          <w:rFonts w:hint="eastAsia" w:ascii="仿宋" w:hAnsi="仿宋" w:eastAsia="仿宋"/>
          <w:sz w:val="28"/>
          <w:szCs w:val="28"/>
        </w:rPr>
        <w:t>九、 国有资本经营预算支出决算情况说明</w:t>
      </w:r>
      <w:r>
        <w:rPr>
          <w:rFonts w:hint="eastAsia"/>
          <w:sz w:val="28"/>
          <w:szCs w:val="28"/>
        </w:rPr>
        <w:tab/>
      </w:r>
      <w:r>
        <w:rPr>
          <w:rFonts w:hint="eastAsia"/>
          <w:sz w:val="28"/>
          <w:szCs w:val="28"/>
        </w:rPr>
        <w:fldChar w:fldCharType="begin"/>
      </w:r>
      <w:r>
        <w:rPr>
          <w:rFonts w:hint="eastAsia"/>
          <w:sz w:val="28"/>
          <w:szCs w:val="28"/>
        </w:rPr>
        <w:instrText xml:space="preserve"> PAGEREF _Toc24870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hint="eastAsia" w:ascii="仿宋" w:hAnsi="仿宋" w:eastAsia="仿宋" w:cs="Times New Roman"/>
          <w:color w:val="auto"/>
          <w:sz w:val="28"/>
          <w:szCs w:val="28"/>
        </w:rPr>
        <w:fldChar w:fldCharType="begin"/>
      </w:r>
      <w:r>
        <w:rPr>
          <w:rFonts w:hint="eastAsia" w:ascii="仿宋" w:hAnsi="仿宋" w:eastAsia="仿宋" w:cs="Times New Roman"/>
          <w:sz w:val="28"/>
          <w:szCs w:val="28"/>
        </w:rPr>
        <w:instrText xml:space="preserve"> HYPERLINK \l _Toc3700 </w:instrText>
      </w:r>
      <w:r>
        <w:rPr>
          <w:rFonts w:hint="eastAsia" w:ascii="仿宋" w:hAnsi="仿宋" w:eastAsia="仿宋" w:cs="Times New Roman"/>
          <w:sz w:val="28"/>
          <w:szCs w:val="28"/>
        </w:rPr>
        <w:fldChar w:fldCharType="separate"/>
      </w:r>
      <w:r>
        <w:rPr>
          <w:rFonts w:hint="eastAsia" w:ascii="仿宋" w:hAnsi="仿宋" w:eastAsia="仿宋"/>
          <w:sz w:val="28"/>
          <w:szCs w:val="28"/>
        </w:rPr>
        <w:t>十、 其他重要事项的情况说明</w:t>
      </w:r>
      <w:r>
        <w:rPr>
          <w:rFonts w:hint="eastAsia"/>
          <w:sz w:val="28"/>
          <w:szCs w:val="28"/>
        </w:rPr>
        <w:tab/>
      </w:r>
      <w:r>
        <w:rPr>
          <w:rFonts w:hint="eastAsia"/>
          <w:sz w:val="28"/>
          <w:szCs w:val="28"/>
        </w:rPr>
        <w:fldChar w:fldCharType="begin"/>
      </w:r>
      <w:r>
        <w:rPr>
          <w:rFonts w:hint="eastAsia"/>
          <w:sz w:val="28"/>
          <w:szCs w:val="28"/>
        </w:rPr>
        <w:instrText xml:space="preserve"> PAGEREF _Toc3700 \h </w:instrText>
      </w:r>
      <w:r>
        <w:rPr>
          <w:rFonts w:hint="eastAsia"/>
          <w:sz w:val="28"/>
          <w:szCs w:val="28"/>
        </w:rPr>
        <w:fldChar w:fldCharType="separate"/>
      </w:r>
      <w:r>
        <w:rPr>
          <w:rFonts w:hint="eastAsia"/>
          <w:sz w:val="28"/>
          <w:szCs w:val="28"/>
        </w:rPr>
        <w:t>8</w:t>
      </w:r>
      <w:r>
        <w:rPr>
          <w:rFonts w:hint="eastAsia"/>
          <w:sz w:val="28"/>
          <w:szCs w:val="28"/>
        </w:rPr>
        <w:fldChar w:fldCharType="end"/>
      </w:r>
      <w:r>
        <w:rPr>
          <w:rFonts w:hint="eastAsia" w:ascii="仿宋" w:hAnsi="仿宋" w:eastAsia="仿宋" w:cs="Times New Roman"/>
          <w:color w:val="auto"/>
          <w:sz w:val="28"/>
          <w:szCs w:val="28"/>
        </w:rPr>
        <w:fldChar w:fldCharType="end"/>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_Toc12243 </w:instrText>
      </w:r>
      <w:r>
        <w:rPr>
          <w:rFonts w:ascii="黑体" w:hAnsi="黑体" w:eastAsia="黑体" w:cstheme="minorBidi"/>
          <w:szCs w:val="28"/>
        </w:rP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_Toc12243 \h </w:instrText>
      </w:r>
      <w:r>
        <w:fldChar w:fldCharType="separate"/>
      </w:r>
      <w:r>
        <w:t>1</w:t>
      </w:r>
      <w:r>
        <w:rPr>
          <w:rFonts w:hint="eastAsia"/>
          <w:lang w:val="en-US" w:eastAsia="zh-CN"/>
        </w:rPr>
        <w:t>5</w:t>
      </w:r>
      <w:r>
        <w:fldChar w:fldCharType="end"/>
      </w:r>
      <w:r>
        <w:rPr>
          <w:rFonts w:ascii="黑体" w:hAnsi="黑体" w:eastAsia="黑体" w:cstheme="minorBidi"/>
          <w:color w:val="auto"/>
          <w:szCs w:val="28"/>
        </w:rPr>
        <w:fldChar w:fldCharType="end"/>
      </w:r>
    </w:p>
    <w:p>
      <w:pPr>
        <w:pStyle w:val="10"/>
        <w:adjustRightInd w:val="0"/>
        <w:snapToGrid w:val="0"/>
        <w:spacing w:before="0" w:line="440" w:lineRule="exact"/>
        <w:jc w:val="left"/>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_Toc26782 </w:instrText>
      </w:r>
      <w:r>
        <w:rPr>
          <w:rFonts w:ascii="黑体" w:hAnsi="黑体" w:eastAsia="黑体" w:cstheme="minorBidi"/>
          <w:szCs w:val="28"/>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_Toc26782 \h </w:instrText>
      </w:r>
      <w:r>
        <w:fldChar w:fldCharType="separate"/>
      </w:r>
      <w:r>
        <w:t>1</w:t>
      </w:r>
      <w:r>
        <w:rPr>
          <w:rFonts w:hint="eastAsia"/>
          <w:lang w:val="en-US" w:eastAsia="zh-CN"/>
        </w:rPr>
        <w:t>7</w:t>
      </w:r>
      <w:r>
        <w:fldChar w:fldCharType="end"/>
      </w:r>
      <w:r>
        <w:rPr>
          <w:rFonts w:ascii="黑体" w:hAnsi="黑体" w:eastAsia="黑体" w:cstheme="minorBidi"/>
          <w:color w:val="auto"/>
          <w:szCs w:val="28"/>
        </w:rPr>
        <w:fldChar w:fldCharType="end"/>
      </w:r>
    </w:p>
    <w:p>
      <w:pPr>
        <w:pStyle w:val="10"/>
        <w:adjustRightInd w:val="0"/>
        <w:snapToGrid w:val="0"/>
        <w:spacing w:before="0" w:line="440" w:lineRule="exact"/>
        <w:jc w:val="left"/>
        <w:rPr>
          <w:rFonts w:hint="eastAsia" w:eastAsia="黑体"/>
          <w:lang w:val="en-US" w:eastAsia="zh-CN"/>
        </w:rPr>
      </w:pPr>
      <w:r>
        <w:rPr>
          <w:rFonts w:ascii="黑体" w:hAnsi="黑体" w:eastAsia="黑体" w:cstheme="minorBidi"/>
          <w:color w:val="auto"/>
          <w:szCs w:val="28"/>
        </w:rPr>
        <w:fldChar w:fldCharType="begin"/>
      </w:r>
      <w:r>
        <w:rPr>
          <w:rFonts w:ascii="黑体" w:hAnsi="黑体" w:eastAsia="黑体" w:cstheme="minorBidi"/>
          <w:szCs w:val="28"/>
        </w:rPr>
        <w:instrText xml:space="preserve"> HYPERLINK \l _Toc22985 </w:instrText>
      </w:r>
      <w:r>
        <w:rPr>
          <w:rFonts w:ascii="黑体" w:hAnsi="黑体" w:eastAsia="黑体" w:cstheme="minorBidi"/>
          <w:szCs w:val="28"/>
        </w:rPr>
        <w:fldChar w:fldCharType="separate"/>
      </w:r>
      <w:r>
        <w:rPr>
          <w:rFonts w:hint="eastAsia" w:ascii="黑体" w:hAnsi="黑体" w:eastAsia="黑体"/>
          <w:szCs w:val="44"/>
        </w:rPr>
        <w:t>第</w:t>
      </w:r>
      <w:r>
        <w:rPr>
          <w:rFonts w:hint="eastAsia" w:ascii="黑体" w:hAnsi="黑体" w:eastAsia="黑体"/>
        </w:rPr>
        <w:t>五部分 附表</w:t>
      </w:r>
      <w:r>
        <w:tab/>
      </w:r>
      <w:r>
        <w:rPr>
          <w:rFonts w:hint="eastAsia"/>
          <w:lang w:val="en-US" w:eastAsia="zh-CN"/>
        </w:rPr>
        <w:t>4</w:t>
      </w:r>
      <w:r>
        <w:rPr>
          <w:rFonts w:ascii="黑体" w:hAnsi="黑体" w:eastAsia="黑体" w:cstheme="minorBidi"/>
          <w:color w:val="auto"/>
          <w:szCs w:val="28"/>
        </w:rPr>
        <w:fldChar w:fldCharType="end"/>
      </w:r>
      <w:r>
        <w:rPr>
          <w:rFonts w:hint="eastAsia" w:ascii="黑体" w:hAnsi="黑体" w:eastAsia="黑体" w:cstheme="minorBidi"/>
          <w:color w:val="auto"/>
          <w:szCs w:val="28"/>
          <w:lang w:val="en-US" w:eastAsia="zh-CN"/>
        </w:rPr>
        <w:t>5</w:t>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_Toc10832 </w:instrText>
      </w:r>
      <w:r>
        <w:rPr>
          <w:rFonts w:ascii="黑体" w:hAnsi="黑体" w:eastAsia="黑体" w:cstheme="minorBidi"/>
          <w:sz w:val="28"/>
          <w:szCs w:val="28"/>
        </w:rPr>
        <w:fldChar w:fldCharType="separate"/>
      </w:r>
      <w:r>
        <w:rPr>
          <w:rFonts w:hint="eastAsia" w:ascii="仿宋" w:hAnsi="仿宋" w:eastAsia="仿宋"/>
          <w:sz w:val="28"/>
          <w:szCs w:val="28"/>
        </w:rPr>
        <w:t>一、收</w:t>
      </w:r>
      <w:r>
        <w:rPr>
          <w:rFonts w:hint="eastAsia" w:ascii="仿宋" w:hAnsi="仿宋" w:eastAsia="仿宋"/>
          <w:bCs w:val="0"/>
          <w:sz w:val="28"/>
          <w:szCs w:val="28"/>
        </w:rPr>
        <w:t>入支出决算总表</w:t>
      </w:r>
      <w:r>
        <w:rPr>
          <w:sz w:val="28"/>
          <w:szCs w:val="28"/>
        </w:rPr>
        <w:tab/>
      </w:r>
      <w:r>
        <w:rPr>
          <w:sz w:val="28"/>
          <w:szCs w:val="28"/>
        </w:rPr>
        <w:fldChar w:fldCharType="begin"/>
      </w:r>
      <w:r>
        <w:rPr>
          <w:sz w:val="28"/>
          <w:szCs w:val="28"/>
        </w:rPr>
        <w:instrText xml:space="preserve"> PAGEREF _Toc10832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_Toc10392 </w:instrText>
      </w:r>
      <w:r>
        <w:rPr>
          <w:rFonts w:ascii="黑体" w:hAnsi="黑体" w:eastAsia="黑体" w:cstheme="minorBidi"/>
          <w:sz w:val="28"/>
          <w:szCs w:val="28"/>
        </w:rPr>
        <w:fldChar w:fldCharType="separate"/>
      </w:r>
      <w:r>
        <w:rPr>
          <w:rFonts w:hint="eastAsia" w:ascii="仿宋" w:hAnsi="仿宋" w:eastAsia="仿宋"/>
          <w:sz w:val="28"/>
          <w:szCs w:val="28"/>
        </w:rPr>
        <w:t>二、收</w:t>
      </w:r>
      <w:r>
        <w:rPr>
          <w:rFonts w:hint="eastAsia" w:ascii="仿宋" w:hAnsi="仿宋" w:eastAsia="仿宋"/>
          <w:bCs w:val="0"/>
          <w:sz w:val="28"/>
          <w:szCs w:val="28"/>
        </w:rPr>
        <w:t>入决算表</w:t>
      </w:r>
      <w:r>
        <w:rPr>
          <w:sz w:val="28"/>
          <w:szCs w:val="28"/>
        </w:rPr>
        <w:tab/>
      </w:r>
      <w:r>
        <w:rPr>
          <w:sz w:val="28"/>
          <w:szCs w:val="28"/>
        </w:rPr>
        <w:fldChar w:fldCharType="begin"/>
      </w:r>
      <w:r>
        <w:rPr>
          <w:sz w:val="28"/>
          <w:szCs w:val="28"/>
        </w:rPr>
        <w:instrText xml:space="preserve"> PAGEREF _Toc10392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_Toc2647 </w:instrText>
      </w:r>
      <w:r>
        <w:rPr>
          <w:rFonts w:ascii="黑体" w:hAnsi="黑体" w:eastAsia="黑体" w:cstheme="minorBidi"/>
          <w:sz w:val="28"/>
          <w:szCs w:val="28"/>
        </w:rPr>
        <w:fldChar w:fldCharType="separate"/>
      </w:r>
      <w:r>
        <w:rPr>
          <w:rFonts w:hint="eastAsia" w:ascii="仿宋" w:hAnsi="仿宋" w:eastAsia="仿宋"/>
          <w:bCs w:val="0"/>
          <w:sz w:val="28"/>
          <w:szCs w:val="28"/>
        </w:rPr>
        <w:t>三、</w:t>
      </w:r>
      <w:r>
        <w:rPr>
          <w:rFonts w:hint="eastAsia" w:ascii="仿宋" w:hAnsi="仿宋" w:eastAsia="仿宋"/>
          <w:sz w:val="28"/>
          <w:szCs w:val="28"/>
        </w:rPr>
        <w:t>支</w:t>
      </w:r>
      <w:r>
        <w:rPr>
          <w:rFonts w:hint="eastAsia" w:ascii="仿宋" w:hAnsi="仿宋" w:eastAsia="仿宋"/>
          <w:bCs w:val="0"/>
          <w:sz w:val="28"/>
          <w:szCs w:val="28"/>
        </w:rPr>
        <w:t>出决算表</w:t>
      </w:r>
      <w:r>
        <w:rPr>
          <w:sz w:val="28"/>
          <w:szCs w:val="28"/>
        </w:rPr>
        <w:tab/>
      </w:r>
      <w:r>
        <w:rPr>
          <w:sz w:val="28"/>
          <w:szCs w:val="28"/>
        </w:rPr>
        <w:fldChar w:fldCharType="begin"/>
      </w:r>
      <w:r>
        <w:rPr>
          <w:sz w:val="28"/>
          <w:szCs w:val="28"/>
        </w:rPr>
        <w:instrText xml:space="preserve"> PAGEREF _Toc2647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_Toc2756 </w:instrText>
      </w:r>
      <w:r>
        <w:rPr>
          <w:rFonts w:ascii="黑体" w:hAnsi="黑体" w:eastAsia="黑体" w:cstheme="minorBidi"/>
          <w:sz w:val="28"/>
          <w:szCs w:val="28"/>
        </w:rPr>
        <w:fldChar w:fldCharType="separate"/>
      </w:r>
      <w:r>
        <w:rPr>
          <w:rFonts w:hint="eastAsia" w:ascii="仿宋" w:hAnsi="仿宋" w:eastAsia="仿宋"/>
          <w:bCs w:val="0"/>
          <w:sz w:val="28"/>
          <w:szCs w:val="28"/>
        </w:rPr>
        <w:t>四、</w:t>
      </w:r>
      <w:r>
        <w:rPr>
          <w:rFonts w:hint="eastAsia" w:ascii="仿宋" w:hAnsi="仿宋" w:eastAsia="仿宋"/>
          <w:sz w:val="28"/>
          <w:szCs w:val="28"/>
        </w:rPr>
        <w:t>财</w:t>
      </w:r>
      <w:r>
        <w:rPr>
          <w:rFonts w:hint="eastAsia" w:ascii="仿宋" w:hAnsi="仿宋" w:eastAsia="仿宋"/>
          <w:bCs w:val="0"/>
          <w:sz w:val="28"/>
          <w:szCs w:val="28"/>
        </w:rPr>
        <w:t>政拨款收入支出决算总表</w:t>
      </w:r>
      <w:r>
        <w:rPr>
          <w:sz w:val="28"/>
          <w:szCs w:val="28"/>
        </w:rPr>
        <w:tab/>
      </w:r>
      <w:r>
        <w:rPr>
          <w:sz w:val="28"/>
          <w:szCs w:val="28"/>
        </w:rPr>
        <w:fldChar w:fldCharType="begin"/>
      </w:r>
      <w:r>
        <w:rPr>
          <w:sz w:val="28"/>
          <w:szCs w:val="28"/>
        </w:rPr>
        <w:instrText xml:space="preserve"> PAGEREF _Toc2756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_Toc9780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五</w:t>
      </w:r>
      <w:r>
        <w:rPr>
          <w:rFonts w:hint="eastAsia" w:ascii="仿宋" w:hAnsi="仿宋" w:eastAsia="仿宋"/>
          <w:bCs w:val="0"/>
          <w:sz w:val="28"/>
          <w:szCs w:val="28"/>
        </w:rPr>
        <w:t>、</w:t>
      </w:r>
      <w:r>
        <w:rPr>
          <w:rStyle w:val="26"/>
          <w:rFonts w:hint="eastAsia" w:ascii="仿宋" w:hAnsi="仿宋" w:eastAsia="仿宋"/>
          <w:b w:val="0"/>
          <w:bCs w:val="0"/>
          <w:lang w:eastAsia="zh-CN"/>
        </w:rPr>
        <w:t>财政拨款支出决算明细表</w:t>
      </w:r>
      <w:r>
        <w:rPr>
          <w:sz w:val="28"/>
          <w:szCs w:val="28"/>
        </w:rPr>
        <w:tab/>
      </w:r>
      <w:r>
        <w:rPr>
          <w:sz w:val="28"/>
          <w:szCs w:val="28"/>
        </w:rPr>
        <w:fldChar w:fldCharType="begin"/>
      </w:r>
      <w:r>
        <w:rPr>
          <w:sz w:val="28"/>
          <w:szCs w:val="28"/>
        </w:rPr>
        <w:instrText xml:space="preserve"> PAGEREF _Toc9780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_Toc5288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六</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一般公共预算财政拨款支出决算表</w:t>
      </w:r>
      <w:r>
        <w:rPr>
          <w:sz w:val="28"/>
          <w:szCs w:val="28"/>
        </w:rPr>
        <w:tab/>
      </w:r>
      <w:r>
        <w:rPr>
          <w:sz w:val="28"/>
          <w:szCs w:val="28"/>
        </w:rPr>
        <w:fldChar w:fldCharType="begin"/>
      </w:r>
      <w:r>
        <w:rPr>
          <w:sz w:val="28"/>
          <w:szCs w:val="28"/>
        </w:rPr>
        <w:instrText xml:space="preserve"> PAGEREF _Toc5288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七</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一般公共预算财政拨款支出决算明细表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_Toc23914 </w:instrText>
      </w:r>
      <w:r>
        <w:rPr>
          <w:rFonts w:ascii="黑体" w:hAnsi="黑体" w:eastAsia="黑体" w:cstheme="minorBidi"/>
          <w:sz w:val="28"/>
          <w:szCs w:val="28"/>
        </w:rPr>
        <w:fldChar w:fldCharType="separate"/>
      </w:r>
      <w:r>
        <w:rPr>
          <w:rFonts w:hint="eastAsia" w:ascii="仿宋" w:hAnsi="仿宋" w:eastAsia="仿宋"/>
          <w:bCs w:val="0"/>
          <w:sz w:val="28"/>
          <w:szCs w:val="28"/>
          <w:lang w:eastAsia="zh-CN"/>
        </w:rPr>
        <w:t>八</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一般公共预算财政拨款基本支出决算表</w:t>
      </w:r>
      <w:r>
        <w:rPr>
          <w:sz w:val="28"/>
          <w:szCs w:val="28"/>
        </w:rPr>
        <w:tab/>
      </w:r>
      <w:r>
        <w:rPr>
          <w:sz w:val="28"/>
          <w:szCs w:val="28"/>
        </w:rPr>
        <w:fldChar w:fldCharType="begin"/>
      </w:r>
      <w:r>
        <w:rPr>
          <w:sz w:val="28"/>
          <w:szCs w:val="28"/>
        </w:rPr>
        <w:instrText xml:space="preserve"> PAGEREF _Toc23914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九</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一般公共预算财政拨款项目支出决算表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w:t>
      </w:r>
      <w:r>
        <w:rPr>
          <w:rFonts w:hint="eastAsia" w:ascii="仿宋" w:hAnsi="仿宋" w:eastAsia="仿宋"/>
          <w:bCs w:val="0"/>
          <w:sz w:val="28"/>
          <w:szCs w:val="28"/>
        </w:rPr>
        <w:t>、</w:t>
      </w:r>
      <w:r>
        <w:rPr>
          <w:rStyle w:val="26"/>
          <w:rFonts w:hint="eastAsia" w:ascii="仿宋" w:hAnsi="仿宋" w:eastAsia="仿宋"/>
          <w:b w:val="0"/>
          <w:bCs w:val="0"/>
          <w:lang w:eastAsia="zh-CN"/>
        </w:rPr>
        <w:t>一般公共预算财政拨款“三公”经费支出决算表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十一</w:t>
      </w:r>
      <w:r>
        <w:rPr>
          <w:rFonts w:hint="eastAsia" w:ascii="仿宋" w:hAnsi="仿宋" w:eastAsia="仿宋"/>
          <w:bCs w:val="0"/>
          <w:sz w:val="28"/>
          <w:szCs w:val="28"/>
        </w:rPr>
        <w:t>、</w:t>
      </w:r>
      <w:r>
        <w:rPr>
          <w:rStyle w:val="26"/>
          <w:rFonts w:hint="eastAsia" w:ascii="仿宋" w:hAnsi="仿宋" w:eastAsia="仿宋"/>
          <w:b w:val="0"/>
          <w:bCs w:val="0"/>
          <w:lang w:eastAsia="zh-CN"/>
        </w:rPr>
        <w:t>政府性基金预算财政拨款收入支出决算表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bookmarkStart w:id="160" w:name="_GoBack"/>
      <w:bookmarkEnd w:id="160"/>
    </w:p>
    <w:p>
      <w:pPr>
        <w:pStyle w:val="10"/>
        <w:adjustRightInd w:val="0"/>
        <w:snapToGrid w:val="0"/>
        <w:spacing w:line="440" w:lineRule="exact"/>
        <w:ind w:left="1399" w:leftChars="266" w:hanging="840" w:hangingChars="3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十二</w:t>
      </w:r>
      <w:r>
        <w:rPr>
          <w:rFonts w:hint="eastAsia" w:ascii="仿宋" w:hAnsi="仿宋" w:eastAsia="仿宋"/>
          <w:bCs w:val="0"/>
          <w:sz w:val="28"/>
          <w:szCs w:val="28"/>
        </w:rPr>
        <w:t>、</w:t>
      </w:r>
      <w:r>
        <w:rPr>
          <w:rStyle w:val="26"/>
          <w:rFonts w:hint="eastAsia" w:ascii="仿宋" w:hAnsi="仿宋" w:eastAsia="仿宋"/>
          <w:b w:val="0"/>
          <w:bCs w:val="0"/>
          <w:lang w:eastAsia="zh-CN"/>
        </w:rPr>
        <w:t>政府性基金预算财政拨款“三公”经费支出决算表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rFonts w:ascii="黑体" w:hAnsi="黑体" w:eastAsia="黑体" w:cstheme="minorBidi"/>
          <w:color w:val="auto"/>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十三</w:t>
      </w:r>
      <w:r>
        <w:rPr>
          <w:rFonts w:hint="eastAsia" w:ascii="仿宋" w:hAnsi="仿宋" w:eastAsia="仿宋"/>
          <w:bCs w:val="0"/>
          <w:sz w:val="28"/>
          <w:szCs w:val="28"/>
        </w:rPr>
        <w:t>、</w:t>
      </w:r>
      <w:r>
        <w:rPr>
          <w:rStyle w:val="26"/>
          <w:rFonts w:hint="eastAsia" w:ascii="仿宋" w:hAnsi="仿宋" w:eastAsia="仿宋"/>
          <w:b w:val="0"/>
          <w:bCs w:val="0"/>
          <w:lang w:eastAsia="zh-CN"/>
        </w:rPr>
        <w:t>国有资本经营预算财政拨款收入支出决算表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r>
        <w:rPr>
          <w:rFonts w:ascii="黑体" w:hAnsi="黑体" w:eastAsia="黑体" w:cstheme="minorBidi"/>
          <w:color w:val="auto"/>
          <w:sz w:val="28"/>
          <w:szCs w:val="28"/>
        </w:rPr>
        <w:fldChar w:fldCharType="begin"/>
      </w:r>
      <w:r>
        <w:rPr>
          <w:rFonts w:ascii="黑体" w:hAnsi="黑体" w:eastAsia="黑体" w:cstheme="minorBidi"/>
          <w:sz w:val="28"/>
          <w:szCs w:val="28"/>
        </w:rPr>
        <w:instrText xml:space="preserve"> HYPERLINK \l _Toc558 </w:instrText>
      </w:r>
      <w:r>
        <w:rPr>
          <w:rFonts w:ascii="黑体" w:hAnsi="黑体" w:eastAsia="黑体" w:cstheme="minorBidi"/>
          <w:sz w:val="28"/>
          <w:szCs w:val="28"/>
        </w:rPr>
        <w:fldChar w:fldCharType="separate"/>
      </w:r>
      <w:r>
        <w:rPr>
          <w:rFonts w:hint="eastAsia"/>
          <w:bCs w:val="0"/>
          <w:sz w:val="28"/>
          <w:szCs w:val="28"/>
          <w:lang w:eastAsia="zh-CN"/>
        </w:rPr>
        <w:t>十四</w:t>
      </w:r>
      <w:r>
        <w:rPr>
          <w:rFonts w:hint="eastAsia" w:ascii="仿宋" w:hAnsi="仿宋" w:eastAsia="仿宋"/>
          <w:bCs w:val="0"/>
          <w:sz w:val="28"/>
          <w:szCs w:val="28"/>
        </w:rPr>
        <w:t>、</w:t>
      </w:r>
      <w:r>
        <w:rPr>
          <w:rStyle w:val="26"/>
          <w:rFonts w:hint="eastAsia" w:ascii="仿宋" w:hAnsi="仿宋" w:eastAsia="仿宋"/>
          <w:b w:val="0"/>
          <w:bCs w:val="0"/>
          <w:lang w:eastAsia="zh-CN"/>
        </w:rPr>
        <w:t>国有资本经营预算财政拨款支出决算表</w:t>
      </w:r>
      <w:r>
        <w:rPr>
          <w:sz w:val="28"/>
          <w:szCs w:val="28"/>
        </w:rPr>
        <w:tab/>
      </w:r>
      <w:r>
        <w:rPr>
          <w:sz w:val="28"/>
          <w:szCs w:val="28"/>
        </w:rPr>
        <w:fldChar w:fldCharType="begin"/>
      </w:r>
      <w:r>
        <w:rPr>
          <w:sz w:val="28"/>
          <w:szCs w:val="28"/>
        </w:rPr>
        <w:instrText xml:space="preserve"> PAGEREF _Toc558 \h </w:instrText>
      </w:r>
      <w:r>
        <w:rPr>
          <w:sz w:val="28"/>
          <w:szCs w:val="28"/>
        </w:rPr>
        <w:fldChar w:fldCharType="separate"/>
      </w:r>
      <w:r>
        <w:rPr>
          <w:sz w:val="28"/>
          <w:szCs w:val="28"/>
        </w:rPr>
        <w:t>4</w:t>
      </w:r>
      <w:r>
        <w:rPr>
          <w:rFonts w:hint="eastAsia"/>
          <w:sz w:val="28"/>
          <w:szCs w:val="28"/>
          <w:lang w:val="en-US" w:eastAsia="zh-CN"/>
        </w:rPr>
        <w:t>5</w:t>
      </w:r>
      <w:r>
        <w:rPr>
          <w:sz w:val="28"/>
          <w:szCs w:val="28"/>
        </w:rPr>
        <w:fldChar w:fldCharType="end"/>
      </w:r>
      <w:r>
        <w:rPr>
          <w:rFonts w:ascii="黑体" w:hAnsi="黑体" w:eastAsia="黑体" w:cstheme="minorBidi"/>
          <w:color w:val="auto"/>
          <w:sz w:val="28"/>
          <w:szCs w:val="28"/>
        </w:rPr>
        <w:fldChar w:fldCharType="end"/>
      </w: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sz w:val="28"/>
          <w:szCs w:val="28"/>
        </w:rPr>
      </w:pPr>
    </w:p>
    <w:p>
      <w:pPr>
        <w:pStyle w:val="10"/>
        <w:adjustRightInd w:val="0"/>
        <w:snapToGrid w:val="0"/>
        <w:spacing w:line="440" w:lineRule="exact"/>
        <w:ind w:firstLine="560" w:firstLineChars="200"/>
        <w:jc w:val="left"/>
        <w:rPr>
          <w:rFonts w:ascii="黑体" w:hAnsi="黑体" w:eastAsia="黑体" w:cstheme="minorBidi"/>
          <w:color w:val="auto"/>
          <w:sz w:val="28"/>
          <w:szCs w:val="28"/>
        </w:rPr>
      </w:pPr>
    </w:p>
    <w:p/>
    <w:p>
      <w:pPr>
        <w:pStyle w:val="10"/>
        <w:widowControl/>
        <w:adjustRightInd w:val="0"/>
        <w:snapToGrid w:val="0"/>
        <w:spacing w:line="440" w:lineRule="exact"/>
        <w:jc w:val="left"/>
        <w:rPr>
          <w:rFonts w:ascii="黑体" w:hAnsi="黑体" w:eastAsia="黑体" w:cstheme="minorBidi"/>
          <w:color w:val="auto"/>
          <w:sz w:val="28"/>
          <w:szCs w:val="28"/>
        </w:rPr>
      </w:pPr>
      <w:r>
        <w:rPr>
          <w:rFonts w:ascii="黑体" w:hAnsi="黑体" w:eastAsia="黑体" w:cstheme="minorBidi"/>
          <w:color w:val="auto"/>
          <w:szCs w:val="28"/>
        </w:rPr>
        <w:fldChar w:fldCharType="end"/>
      </w:r>
    </w:p>
    <w:p>
      <w:pPr>
        <w:pStyle w:val="3"/>
        <w:ind w:firstLine="1760" w:firstLineChars="400"/>
        <w:jc w:val="both"/>
        <w:rPr>
          <w:rFonts w:hint="eastAsia" w:ascii="黑体" w:hAnsi="黑体" w:eastAsia="黑体"/>
          <w:b w:val="0"/>
          <w:color w:val="auto"/>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20" w:name="_Toc15377196"/>
      <w:bookmarkStart w:id="21" w:name="_Toc15396599"/>
    </w:p>
    <w:p>
      <w:pPr>
        <w:pStyle w:val="3"/>
        <w:ind w:firstLine="2200" w:firstLineChars="500"/>
        <w:jc w:val="both"/>
        <w:rPr>
          <w:rFonts w:ascii="黑体" w:eastAsia="黑体"/>
          <w:color w:val="auto"/>
          <w:sz w:val="44"/>
          <w:szCs w:val="44"/>
        </w:rPr>
      </w:pPr>
      <w:bookmarkStart w:id="22" w:name="_Toc25359"/>
      <w:bookmarkStart w:id="23" w:name="_Toc3444"/>
      <w:bookmarkStart w:id="24" w:name="_Toc3054"/>
      <w:bookmarkStart w:id="25" w:name="_Toc1453"/>
      <w:r>
        <w:rPr>
          <w:rFonts w:hint="eastAsia" w:ascii="黑体" w:hAnsi="黑体" w:eastAsia="黑体"/>
          <w:b w:val="0"/>
          <w:color w:val="auto"/>
          <w:sz w:val="44"/>
          <w:szCs w:val="44"/>
        </w:rPr>
        <w:t xml:space="preserve">第一部分 </w:t>
      </w:r>
      <w:r>
        <w:rPr>
          <w:rFonts w:hint="eastAsia" w:ascii="黑体" w:hAnsi="黑体" w:eastAsia="黑体"/>
          <w:b w:val="0"/>
          <w:color w:val="auto"/>
          <w:sz w:val="44"/>
          <w:szCs w:val="44"/>
          <w:lang w:eastAsia="zh-CN"/>
        </w:rPr>
        <w:t>单位</w:t>
      </w:r>
      <w:r>
        <w:rPr>
          <w:rStyle w:val="25"/>
          <w:rFonts w:hint="eastAsia" w:ascii="黑体" w:hAnsi="黑体" w:eastAsia="黑体"/>
          <w:b w:val="0"/>
          <w:bCs w:val="0"/>
          <w:color w:val="auto"/>
          <w:sz w:val="44"/>
          <w:szCs w:val="44"/>
        </w:rPr>
        <w:t>概况</w:t>
      </w:r>
      <w:bookmarkEnd w:id="20"/>
      <w:bookmarkEnd w:id="21"/>
      <w:bookmarkEnd w:id="22"/>
      <w:bookmarkEnd w:id="23"/>
      <w:bookmarkEnd w:id="24"/>
      <w:bookmarkEnd w:id="25"/>
    </w:p>
    <w:p>
      <w:pPr>
        <w:pStyle w:val="4"/>
        <w:numPr>
          <w:ilvl w:val="0"/>
          <w:numId w:val="1"/>
        </w:numPr>
        <w:rPr>
          <w:rFonts w:hint="eastAsia"/>
          <w:color w:val="auto"/>
        </w:rPr>
      </w:pPr>
      <w:bookmarkStart w:id="26" w:name="_Toc14417"/>
      <w:bookmarkStart w:id="27" w:name="_Toc2449"/>
      <w:bookmarkStart w:id="28" w:name="_Toc15377197"/>
      <w:bookmarkStart w:id="29" w:name="_Toc15396600"/>
      <w:r>
        <w:rPr>
          <w:rStyle w:val="26"/>
          <w:rFonts w:hint="eastAsia" w:ascii="黑体" w:hAnsi="黑体" w:eastAsia="黑体"/>
          <w:b w:val="0"/>
          <w:bCs w:val="0"/>
          <w:color w:val="auto"/>
        </w:rPr>
        <w:t>职能</w:t>
      </w:r>
      <w:r>
        <w:rPr>
          <w:rStyle w:val="26"/>
          <w:rFonts w:hint="eastAsia" w:ascii="黑体" w:hAnsi="黑体" w:eastAsia="黑体"/>
          <w:b w:val="0"/>
          <w:bCs w:val="0"/>
          <w:color w:val="auto"/>
          <w:lang w:eastAsia="zh-CN"/>
        </w:rPr>
        <w:t>简介</w:t>
      </w:r>
      <w:bookmarkEnd w:id="26"/>
      <w:bookmarkEnd w:id="27"/>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主要职能：本单位主要担负为国家建设提供地矿勘查服务,承担水文地质、工程地质勘查、水及地热井钻探、桩基、地下连续墙、软弱地基、特钟钻凿工程施工、开展技术咨询服务等。</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机构情况：本单位是一家独立编制、独立核算的事业单位，机构无变动情况。</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人员情况：本单位2020年度年末在职人员520人，较上年度减少19人，离休人员5人，较上年度减少0人,均为按政策正常增减差额形成。</w:t>
      </w:r>
    </w:p>
    <w:p>
      <w:pPr>
        <w:pStyle w:val="4"/>
        <w:numPr>
          <w:ilvl w:val="0"/>
          <w:numId w:val="1"/>
        </w:numPr>
        <w:rPr>
          <w:rFonts w:hint="eastAsia" w:ascii="黑体" w:hAnsi="黑体" w:eastAsia="黑体"/>
          <w:b w:val="0"/>
          <w:color w:val="auto"/>
          <w:highlight w:val="none"/>
        </w:rPr>
      </w:pPr>
      <w:bookmarkStart w:id="30" w:name="_Toc25420"/>
      <w:bookmarkStart w:id="31" w:name="_Toc21922"/>
      <w:r>
        <w:rPr>
          <w:rStyle w:val="26"/>
          <w:rFonts w:hint="eastAsia" w:ascii="黑体" w:hAnsi="黑体" w:eastAsia="黑体"/>
          <w:b w:val="0"/>
          <w:bCs w:val="0"/>
          <w:color w:val="auto"/>
          <w:highlight w:val="none"/>
          <w:lang w:val="en-US" w:eastAsia="zh-CN"/>
        </w:rPr>
        <w:t>2020年重点</w:t>
      </w:r>
      <w:r>
        <w:rPr>
          <w:rStyle w:val="26"/>
          <w:rFonts w:hint="eastAsia" w:ascii="黑体" w:hAnsi="黑体" w:eastAsia="黑体"/>
          <w:b w:val="0"/>
          <w:bCs w:val="0"/>
          <w:color w:val="auto"/>
          <w:highlight w:val="none"/>
        </w:rPr>
        <w:t>工作</w:t>
      </w:r>
      <w:r>
        <w:rPr>
          <w:rStyle w:val="26"/>
          <w:rFonts w:hint="eastAsia" w:ascii="黑体" w:hAnsi="黑体" w:eastAsia="黑体"/>
          <w:b w:val="0"/>
          <w:bCs w:val="0"/>
          <w:color w:val="auto"/>
          <w:highlight w:val="none"/>
          <w:lang w:eastAsia="zh-CN"/>
        </w:rPr>
        <w:t>完成情况</w:t>
      </w:r>
      <w:bookmarkEnd w:id="30"/>
      <w:bookmarkEnd w:id="31"/>
    </w:p>
    <w:p>
      <w:pPr>
        <w:pStyle w:val="4"/>
        <w:numPr>
          <w:ilvl w:val="0"/>
          <w:numId w:val="2"/>
        </w:numPr>
        <w:ind w:firstLine="640"/>
        <w:rPr>
          <w:rFonts w:hint="eastAsia" w:ascii="仿宋" w:hAnsi="仿宋" w:eastAsia="仿宋" w:cs="Times New Roman"/>
          <w:b w:val="0"/>
          <w:bCs w:val="0"/>
          <w:color w:val="auto"/>
          <w:kern w:val="2"/>
          <w:sz w:val="32"/>
          <w:szCs w:val="32"/>
          <w:lang w:val="en-US" w:eastAsia="zh-CN" w:bidi="ar-SA"/>
        </w:rPr>
      </w:pPr>
      <w:bookmarkStart w:id="32" w:name="_Toc17796"/>
      <w:bookmarkStart w:id="33" w:name="_Toc13860"/>
      <w:r>
        <w:rPr>
          <w:rFonts w:hint="eastAsia" w:ascii="仿宋" w:hAnsi="仿宋" w:eastAsia="仿宋" w:cs="Times New Roman"/>
          <w:b w:val="0"/>
          <w:bCs w:val="0"/>
          <w:color w:val="auto"/>
          <w:kern w:val="2"/>
          <w:sz w:val="32"/>
          <w:szCs w:val="32"/>
          <w:lang w:val="en-US" w:eastAsia="zh-CN" w:bidi="ar-SA"/>
        </w:rPr>
        <w:t>坚持全面加强党的领导，推动上级决策部署落地落实，</w:t>
      </w:r>
      <w:r>
        <w:rPr>
          <w:rFonts w:hint="eastAsia" w:ascii="仿宋" w:hAnsi="仿宋" w:eastAsia="仿宋" w:cs="Times New Roman"/>
          <w:b w:val="0"/>
          <w:bCs w:val="0"/>
          <w:color w:val="auto"/>
        </w:rPr>
        <w:t>打好新冠肺炎疫情防控阻击战</w:t>
      </w:r>
      <w:r>
        <w:rPr>
          <w:rFonts w:hint="eastAsia" w:ascii="仿宋" w:hAnsi="仿宋" w:eastAsia="仿宋" w:cs="Times New Roman"/>
          <w:b w:val="0"/>
          <w:bCs w:val="0"/>
          <w:color w:val="auto"/>
          <w:lang w:eastAsia="zh-CN"/>
        </w:rPr>
        <w:t>，</w:t>
      </w:r>
      <w:r>
        <w:rPr>
          <w:rFonts w:hint="eastAsia" w:ascii="仿宋" w:hAnsi="仿宋" w:eastAsia="仿宋" w:cs="Times New Roman"/>
          <w:b w:val="0"/>
          <w:bCs w:val="0"/>
          <w:color w:val="auto"/>
        </w:rPr>
        <w:t>众志成</w:t>
      </w:r>
      <w:r>
        <w:rPr>
          <w:rFonts w:hint="eastAsia" w:ascii="仿宋" w:hAnsi="仿宋" w:eastAsia="仿宋" w:cs="Times New Roman"/>
          <w:b w:val="0"/>
          <w:bCs w:val="0"/>
          <w:color w:val="auto"/>
          <w:lang w:eastAsia="zh-CN"/>
        </w:rPr>
        <w:t>诚，</w:t>
      </w:r>
      <w:r>
        <w:rPr>
          <w:rFonts w:hint="eastAsia" w:ascii="仿宋" w:hAnsi="仿宋" w:eastAsia="仿宋" w:cs="Times New Roman"/>
          <w:b w:val="0"/>
          <w:bCs w:val="0"/>
          <w:color w:val="auto"/>
        </w:rPr>
        <w:t>生产经营管理工作再上新台</w:t>
      </w:r>
      <w:r>
        <w:rPr>
          <w:rFonts w:hint="eastAsia" w:ascii="仿宋" w:hAnsi="仿宋" w:eastAsia="仿宋" w:cs="Times New Roman"/>
          <w:b w:val="0"/>
          <w:bCs w:val="0"/>
          <w:color w:val="auto"/>
          <w:lang w:eastAsia="zh-CN"/>
        </w:rPr>
        <w:t>阶，</w:t>
      </w:r>
      <w:r>
        <w:rPr>
          <w:rFonts w:hint="eastAsia" w:ascii="仿宋" w:hAnsi="仿宋" w:eastAsia="仿宋" w:cs="Times New Roman"/>
          <w:b w:val="0"/>
          <w:bCs w:val="0"/>
          <w:color w:val="auto"/>
          <w:kern w:val="2"/>
          <w:sz w:val="32"/>
          <w:szCs w:val="32"/>
          <w:lang w:val="en-US" w:eastAsia="zh-CN" w:bidi="ar-SA"/>
        </w:rPr>
        <w:t>确保国有资产增值保值。</w:t>
      </w:r>
      <w:bookmarkEnd w:id="32"/>
      <w:bookmarkEnd w:id="33"/>
    </w:p>
    <w:p>
      <w:pPr>
        <w:pStyle w:val="4"/>
        <w:numPr>
          <w:ilvl w:val="-1"/>
          <w:numId w:val="0"/>
        </w:numPr>
        <w:ind w:firstLine="640" w:firstLineChars="200"/>
        <w:rPr>
          <w:rFonts w:hint="eastAsia" w:ascii="仿宋" w:hAnsi="仿宋" w:eastAsia="仿宋" w:cs="Times New Roman"/>
          <w:b w:val="0"/>
          <w:bCs w:val="0"/>
          <w:color w:val="auto"/>
          <w:kern w:val="2"/>
          <w:sz w:val="32"/>
          <w:szCs w:val="32"/>
          <w:lang w:val="en-US" w:eastAsia="zh-CN" w:bidi="ar-SA"/>
        </w:rPr>
      </w:pPr>
      <w:bookmarkStart w:id="34" w:name="_Toc29868"/>
      <w:bookmarkStart w:id="35" w:name="_Toc2833"/>
      <w:r>
        <w:rPr>
          <w:rFonts w:hint="eastAsia" w:ascii="仿宋" w:hAnsi="仿宋" w:eastAsia="仿宋" w:cs="Times New Roman"/>
          <w:b w:val="0"/>
          <w:bCs w:val="0"/>
          <w:color w:val="auto"/>
          <w:kern w:val="2"/>
          <w:sz w:val="32"/>
          <w:szCs w:val="32"/>
          <w:lang w:val="en-US" w:eastAsia="zh-CN" w:bidi="ar-SA"/>
        </w:rPr>
        <w:t>（2）紧跟国家政策导向，</w:t>
      </w:r>
      <w:r>
        <w:rPr>
          <w:rFonts w:hint="eastAsia" w:ascii="仿宋" w:hAnsi="仿宋" w:eastAsia="仿宋" w:cs="Times New Roman"/>
          <w:b w:val="0"/>
          <w:bCs w:val="0"/>
          <w:color w:val="auto"/>
        </w:rPr>
        <w:t>积极响应国家生态环境大保护战略，大力实施“地质+生态环境”战略</w:t>
      </w:r>
      <w:r>
        <w:rPr>
          <w:rFonts w:hint="eastAsia" w:ascii="仿宋" w:hAnsi="仿宋" w:eastAsia="仿宋" w:cs="Times New Roman"/>
          <w:b w:val="0"/>
          <w:bCs w:val="0"/>
          <w:color w:val="auto"/>
          <w:lang w:eastAsia="zh-CN"/>
        </w:rPr>
        <w:t>等，</w:t>
      </w:r>
      <w:r>
        <w:rPr>
          <w:rFonts w:hint="eastAsia" w:ascii="仿宋" w:hAnsi="仿宋" w:eastAsia="仿宋" w:cs="Times New Roman"/>
          <w:b w:val="0"/>
          <w:bCs w:val="0"/>
          <w:color w:val="auto"/>
          <w:kern w:val="2"/>
          <w:sz w:val="32"/>
          <w:szCs w:val="32"/>
          <w:lang w:val="en-US" w:eastAsia="zh-CN" w:bidi="ar-SA"/>
        </w:rPr>
        <w:t>准确做好公益性地质工作。</w:t>
      </w:r>
      <w:bookmarkEnd w:id="34"/>
      <w:bookmarkEnd w:id="35"/>
    </w:p>
    <w:p>
      <w:pPr>
        <w:pStyle w:val="4"/>
        <w:numPr>
          <w:ilvl w:val="-1"/>
          <w:numId w:val="0"/>
        </w:numPr>
        <w:ind w:firstLine="640" w:firstLineChars="200"/>
        <w:rPr>
          <w:rFonts w:hint="eastAsia" w:ascii="仿宋" w:hAnsi="仿宋" w:eastAsia="仿宋" w:cs="Times New Roman"/>
          <w:b w:val="0"/>
          <w:bCs w:val="0"/>
          <w:color w:val="auto"/>
          <w:kern w:val="2"/>
          <w:sz w:val="32"/>
          <w:szCs w:val="32"/>
          <w:lang w:val="en-US" w:eastAsia="zh-CN" w:bidi="ar-SA"/>
        </w:rPr>
      </w:pPr>
      <w:bookmarkStart w:id="36" w:name="_Toc29887"/>
      <w:bookmarkStart w:id="37" w:name="_Toc20056"/>
      <w:r>
        <w:rPr>
          <w:rFonts w:hint="eastAsia" w:ascii="仿宋" w:hAnsi="仿宋" w:eastAsia="仿宋" w:cs="Times New Roman"/>
          <w:b w:val="0"/>
          <w:bCs w:val="0"/>
          <w:color w:val="auto"/>
          <w:kern w:val="2"/>
          <w:sz w:val="32"/>
          <w:szCs w:val="32"/>
          <w:lang w:val="en-US" w:eastAsia="zh-CN" w:bidi="ar-SA"/>
        </w:rPr>
        <w:t>（3）按照省委省政府和地矿局统一部署，</w:t>
      </w:r>
      <w:r>
        <w:rPr>
          <w:rFonts w:hint="eastAsia" w:ascii="仿宋" w:hAnsi="仿宋" w:eastAsia="仿宋" w:cs="Times New Roman"/>
          <w:b w:val="0"/>
          <w:bCs w:val="0"/>
          <w:color w:val="auto"/>
        </w:rPr>
        <w:t>以事业单位、国有企业改革为抓手，统筹推进体制机制建</w:t>
      </w:r>
      <w:r>
        <w:rPr>
          <w:rFonts w:hint="eastAsia" w:ascii="仿宋" w:hAnsi="仿宋" w:eastAsia="仿宋" w:cs="Times New Roman"/>
          <w:b w:val="0"/>
          <w:bCs w:val="0"/>
          <w:color w:val="auto"/>
          <w:lang w:eastAsia="zh-CN"/>
        </w:rPr>
        <w:t>设，</w:t>
      </w:r>
      <w:r>
        <w:rPr>
          <w:rFonts w:hint="eastAsia" w:ascii="仿宋" w:hAnsi="仿宋" w:eastAsia="仿宋" w:cs="Times New Roman"/>
          <w:b w:val="0"/>
          <w:bCs w:val="0"/>
          <w:color w:val="auto"/>
          <w:kern w:val="2"/>
          <w:sz w:val="32"/>
          <w:szCs w:val="32"/>
          <w:lang w:val="en-US" w:eastAsia="zh-CN" w:bidi="ar-SA"/>
        </w:rPr>
        <w:t>做好全队事业单位改革工作。</w:t>
      </w:r>
      <w:bookmarkEnd w:id="36"/>
      <w:bookmarkEnd w:id="37"/>
    </w:p>
    <w:p>
      <w:pPr>
        <w:ind w:firstLine="640" w:firstLineChars="200"/>
        <w:rPr>
          <w:rFonts w:hint="eastAsia" w:ascii="仿宋" w:hAnsi="仿宋" w:eastAsia="仿宋" w:cs="Times New Roman"/>
          <w:b w:val="0"/>
          <w:bCs w:val="0"/>
          <w:color w:val="auto"/>
          <w:kern w:val="2"/>
          <w:sz w:val="32"/>
          <w:szCs w:val="32"/>
          <w:lang w:val="en-US" w:eastAsia="zh-CN" w:bidi="ar-SA"/>
        </w:rPr>
      </w:pPr>
      <w:r>
        <w:rPr>
          <w:rFonts w:hint="eastAsia" w:ascii="仿宋" w:hAnsi="仿宋" w:eastAsia="仿宋" w:cs="Times New Roman"/>
          <w:b w:val="0"/>
          <w:bCs w:val="0"/>
          <w:color w:val="auto"/>
          <w:kern w:val="2"/>
          <w:sz w:val="32"/>
          <w:szCs w:val="32"/>
          <w:lang w:val="en-US" w:eastAsia="zh-CN" w:bidi="ar-SA"/>
        </w:rPr>
        <w:t>（4）紧抓人才建设，强化人才培养，增加单位核心竞争力</w:t>
      </w:r>
    </w:p>
    <w:p>
      <w:pPr>
        <w:pStyle w:val="4"/>
        <w:numPr>
          <w:ilvl w:val="-1"/>
          <w:numId w:val="0"/>
        </w:numPr>
        <w:spacing w:after="0"/>
        <w:ind w:firstLine="640" w:firstLineChars="200"/>
        <w:rPr>
          <w:rFonts w:hint="eastAsia" w:ascii="仿宋" w:hAnsi="仿宋" w:eastAsia="仿宋" w:cs="Times New Roman"/>
          <w:b w:val="0"/>
          <w:bCs w:val="0"/>
          <w:color w:val="auto"/>
          <w:lang w:eastAsia="zh-CN"/>
        </w:rPr>
      </w:pPr>
      <w:bookmarkStart w:id="38" w:name="_Toc8505"/>
      <w:bookmarkStart w:id="39" w:name="_Toc19424"/>
      <w:r>
        <w:rPr>
          <w:rFonts w:hint="eastAsia" w:ascii="仿宋" w:hAnsi="仿宋" w:eastAsia="仿宋" w:cs="Times New Roman"/>
          <w:b w:val="0"/>
          <w:bCs w:val="0"/>
          <w:color w:val="auto"/>
          <w:kern w:val="2"/>
          <w:sz w:val="32"/>
          <w:szCs w:val="32"/>
          <w:lang w:val="en-US" w:eastAsia="zh-CN" w:bidi="ar-SA"/>
        </w:rPr>
        <w:t>（5）大力推进创新驱动发展，实施地质+、数字地质战略，</w:t>
      </w:r>
      <w:r>
        <w:rPr>
          <w:rFonts w:hint="eastAsia" w:ascii="仿宋" w:hAnsi="仿宋" w:eastAsia="仿宋" w:cs="Times New Roman"/>
          <w:b w:val="0"/>
          <w:bCs w:val="0"/>
          <w:color w:val="auto"/>
        </w:rPr>
        <w:t>内外联动，切实提升我队科技实力</w:t>
      </w:r>
      <w:r>
        <w:rPr>
          <w:rFonts w:hint="eastAsia" w:ascii="仿宋" w:hAnsi="仿宋" w:eastAsia="仿宋" w:cs="Times New Roman"/>
          <w:b w:val="0"/>
          <w:bCs w:val="0"/>
          <w:color w:val="auto"/>
          <w:lang w:eastAsia="zh-CN"/>
        </w:rPr>
        <w:t>。</w:t>
      </w:r>
      <w:bookmarkEnd w:id="38"/>
      <w:bookmarkEnd w:id="39"/>
    </w:p>
    <w:p>
      <w:pPr>
        <w:pStyle w:val="3"/>
        <w:ind w:right="440"/>
        <w:jc w:val="center"/>
        <w:rPr>
          <w:rFonts w:hint="eastAsia" w:ascii="黑体" w:hAnsi="黑体" w:eastAsia="黑体"/>
          <w:b w:val="0"/>
          <w:bCs/>
          <w:color w:val="auto"/>
        </w:rPr>
      </w:pPr>
    </w:p>
    <w:p>
      <w:pPr>
        <w:pStyle w:val="2"/>
        <w:rPr>
          <w:rFonts w:hint="eastAsia"/>
        </w:rPr>
      </w:pPr>
    </w:p>
    <w:bookmarkEnd w:id="28"/>
    <w:bookmarkEnd w:id="29"/>
    <w:p>
      <w:pPr>
        <w:pStyle w:val="3"/>
        <w:ind w:right="440"/>
        <w:jc w:val="center"/>
        <w:rPr>
          <w:color w:val="auto"/>
        </w:rPr>
      </w:pPr>
      <w:bookmarkStart w:id="40" w:name="_Toc6734"/>
      <w:bookmarkStart w:id="41" w:name="_Toc15396602"/>
      <w:bookmarkStart w:id="42" w:name="_Toc109"/>
      <w:bookmarkStart w:id="43" w:name="_Toc15377204"/>
      <w:bookmarkStart w:id="44" w:name="_Toc27098"/>
      <w:bookmarkStart w:id="45" w:name="_Toc16575"/>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5"/>
          <w:rFonts w:hint="eastAsia" w:ascii="黑体" w:hAnsi="黑体" w:eastAsia="黑体"/>
          <w:b w:val="0"/>
          <w:bCs/>
          <w:color w:val="auto"/>
          <w:lang w:eastAsia="zh-CN"/>
        </w:rPr>
        <w:t>单位</w:t>
      </w:r>
      <w:r>
        <w:rPr>
          <w:rStyle w:val="25"/>
          <w:rFonts w:hint="eastAsia" w:ascii="黑体" w:hAnsi="黑体" w:eastAsia="黑体"/>
          <w:b w:val="0"/>
          <w:bCs/>
          <w:color w:val="auto"/>
        </w:rPr>
        <w:t>决算情况说明</w:t>
      </w:r>
      <w:bookmarkEnd w:id="40"/>
      <w:bookmarkEnd w:id="41"/>
      <w:bookmarkEnd w:id="42"/>
      <w:bookmarkEnd w:id="43"/>
      <w:bookmarkEnd w:id="44"/>
      <w:bookmarkEnd w:id="45"/>
    </w:p>
    <w:p>
      <w:pPr>
        <w:pStyle w:val="24"/>
        <w:numPr>
          <w:ilvl w:val="0"/>
          <w:numId w:val="3"/>
        </w:numPr>
        <w:spacing w:line="600" w:lineRule="exact"/>
        <w:ind w:firstLineChars="0"/>
        <w:outlineLvl w:val="1"/>
        <w:rPr>
          <w:rStyle w:val="26"/>
          <w:rFonts w:ascii="黑体" w:hAnsi="黑体" w:eastAsia="黑体"/>
          <w:b w:val="0"/>
          <w:color w:val="auto"/>
        </w:rPr>
      </w:pPr>
      <w:bookmarkStart w:id="46" w:name="_Toc26967"/>
      <w:bookmarkStart w:id="47" w:name="_Toc4521"/>
      <w:bookmarkStart w:id="48" w:name="_Toc15377205"/>
      <w:bookmarkStart w:id="49" w:name="_Toc15396603"/>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46"/>
      <w:bookmarkEnd w:id="47"/>
      <w:bookmarkEnd w:id="48"/>
      <w:bookmarkEnd w:id="49"/>
    </w:p>
    <w:p>
      <w:pPr>
        <w:ind w:firstLine="640" w:firstLineChars="200"/>
        <w:rPr>
          <w:rFonts w:hint="eastAsia" w:ascii="仿宋" w:hAnsi="仿宋" w:eastAsia="仿宋_GB2312"/>
          <w:color w:val="auto"/>
          <w:sz w:val="32"/>
          <w:szCs w:val="32"/>
          <w:lang w:eastAsia="zh-CN"/>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年度收、支总计</w:t>
      </w:r>
      <w:r>
        <w:rPr>
          <w:rFonts w:hint="eastAsia" w:ascii="仿宋" w:hAnsi="仿宋" w:eastAsia="仿宋"/>
          <w:color w:val="auto"/>
          <w:sz w:val="32"/>
          <w:szCs w:val="32"/>
          <w:lang w:val="en-US" w:eastAsia="zh-CN"/>
        </w:rPr>
        <w:t>11127.11</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w:t>
      </w:r>
      <w:r>
        <w:rPr>
          <w:rFonts w:hint="eastAsia" w:ascii="仿宋" w:hAnsi="仿宋" w:eastAsia="仿宋"/>
          <w:color w:val="auto"/>
          <w:sz w:val="32"/>
          <w:szCs w:val="32"/>
          <w:lang w:eastAsia="zh-CN"/>
        </w:rPr>
        <w:t>的</w:t>
      </w:r>
      <w:r>
        <w:rPr>
          <w:rFonts w:hint="eastAsia" w:ascii="仿宋" w:hAnsi="仿宋" w:eastAsia="仿宋"/>
          <w:color w:val="auto"/>
          <w:sz w:val="32"/>
          <w:szCs w:val="32"/>
          <w:lang w:val="en-US" w:eastAsia="zh-CN"/>
        </w:rPr>
        <w:t>7506.15万元</w:t>
      </w:r>
      <w:r>
        <w:rPr>
          <w:rFonts w:hint="eastAsia" w:ascii="仿宋" w:hAnsi="仿宋" w:eastAsia="仿宋"/>
          <w:color w:val="auto"/>
          <w:sz w:val="32"/>
          <w:szCs w:val="32"/>
        </w:rPr>
        <w:t>相比，收、支总计各增加</w:t>
      </w:r>
      <w:r>
        <w:rPr>
          <w:rFonts w:hint="eastAsia" w:ascii="仿宋" w:hAnsi="仿宋" w:eastAsia="仿宋"/>
          <w:color w:val="auto"/>
          <w:sz w:val="32"/>
          <w:szCs w:val="32"/>
          <w:lang w:val="en-US" w:eastAsia="zh-CN"/>
        </w:rPr>
        <w:t>3620.96</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48.24</w:t>
      </w:r>
      <w:r>
        <w:rPr>
          <w:rFonts w:ascii="仿宋" w:hAnsi="仿宋" w:eastAsia="仿宋"/>
          <w:color w:val="auto"/>
          <w:sz w:val="32"/>
          <w:szCs w:val="32"/>
        </w:rPr>
        <w:t>%</w:t>
      </w:r>
      <w:r>
        <w:rPr>
          <w:rFonts w:hint="eastAsia" w:ascii="仿宋" w:hAnsi="仿宋" w:eastAsia="仿宋"/>
          <w:color w:val="auto"/>
          <w:sz w:val="32"/>
          <w:szCs w:val="32"/>
        </w:rPr>
        <w:t>。主要变动原因</w:t>
      </w:r>
      <w:r>
        <w:rPr>
          <w:rFonts w:hint="eastAsia" w:ascii="仿宋_GB2312" w:hAnsi="仿宋_GB2312" w:eastAsia="仿宋_GB2312" w:cs="仿宋_GB2312"/>
          <w:color w:val="000000"/>
          <w:sz w:val="32"/>
          <w:szCs w:val="32"/>
          <w:lang w:eastAsia="zh-CN"/>
        </w:rPr>
        <w:t>是增加四川省</w:t>
      </w:r>
      <w:r>
        <w:rPr>
          <w:rFonts w:hint="eastAsia" w:ascii="仿宋_GB2312" w:hAnsi="仿宋_GB2312" w:eastAsia="仿宋_GB2312" w:cs="仿宋_GB2312"/>
          <w:color w:val="000000"/>
          <w:sz w:val="32"/>
          <w:szCs w:val="32"/>
        </w:rPr>
        <w:t>重点行业企业用地土壤调查</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拨款</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p>
    <w:p>
      <w:pPr>
        <w:spacing w:line="600" w:lineRule="exact"/>
        <w:ind w:firstLine="640" w:firstLineChars="200"/>
      </w:pPr>
      <w:r>
        <w:rPr>
          <w:rFonts w:hint="eastAsia" w:ascii="仿宋" w:hAnsi="仿宋" w:eastAsia="仿宋"/>
          <w:color w:val="auto"/>
          <w:sz w:val="32"/>
          <w:szCs w:val="32"/>
        </w:rPr>
        <w:t>收、支决算总计变动情况</w:t>
      </w:r>
      <w:r>
        <w:rPr>
          <w:rFonts w:hint="eastAsia" w:ascii="仿宋" w:hAnsi="仿宋" w:eastAsia="仿宋"/>
          <w:color w:val="auto"/>
          <w:sz w:val="32"/>
          <w:szCs w:val="32"/>
          <w:lang w:eastAsia="zh-CN"/>
        </w:rPr>
        <w:t>如下</w:t>
      </w:r>
      <w:r>
        <w:rPr>
          <w:rFonts w:hint="eastAsia" w:ascii="仿宋" w:hAnsi="仿宋" w:eastAsia="仿宋"/>
          <w:color w:val="auto"/>
          <w:sz w:val="32"/>
          <w:szCs w:val="32"/>
        </w:rPr>
        <w:t>图</w:t>
      </w:r>
      <w:r>
        <w:rPr>
          <w:rFonts w:hint="eastAsia" w:ascii="仿宋" w:hAnsi="仿宋" w:eastAsia="仿宋"/>
          <w:color w:val="auto"/>
          <w:sz w:val="32"/>
          <w:szCs w:val="32"/>
          <w:lang w:eastAsia="zh-CN"/>
        </w:rPr>
        <w:t>：</w:t>
      </w:r>
    </w:p>
    <w:p>
      <w:pPr>
        <w:pStyle w:val="2"/>
      </w:pPr>
      <w:r>
        <w:rPr>
          <w:sz w:val="30"/>
        </w:rPr>
        <mc:AlternateContent>
          <mc:Choice Requires="wps">
            <w:drawing>
              <wp:anchor distT="0" distB="0" distL="114300" distR="114300" simplePos="0" relativeHeight="251661312" behindDoc="0" locked="0" layoutInCell="1" allowOverlap="1">
                <wp:simplePos x="0" y="0"/>
                <wp:positionH relativeFrom="column">
                  <wp:posOffset>4375785</wp:posOffset>
                </wp:positionH>
                <wp:positionV relativeFrom="paragraph">
                  <wp:posOffset>403225</wp:posOffset>
                </wp:positionV>
                <wp:extent cx="856615" cy="304800"/>
                <wp:effectExtent l="0" t="0" r="635" b="0"/>
                <wp:wrapNone/>
                <wp:docPr id="8" name="文本框 8"/>
                <wp:cNvGraphicFramePr/>
                <a:graphic xmlns:a="http://schemas.openxmlformats.org/drawingml/2006/main">
                  <a:graphicData uri="http://schemas.microsoft.com/office/word/2010/wordprocessingShape">
                    <wps:wsp>
                      <wps:cNvSpPr txBox="1"/>
                      <wps:spPr>
                        <a:xfrm>
                          <a:off x="5518785" y="1317625"/>
                          <a:ext cx="856615" cy="304800"/>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18"/>
                                <w:szCs w:val="18"/>
                                <w:lang w:val="en-US" w:eastAsia="zh-CN"/>
                              </w:rPr>
                            </w:pPr>
                            <w:r>
                              <w:rPr>
                                <w:rFonts w:hint="eastAsia"/>
                                <w:sz w:val="18"/>
                                <w:szCs w:val="18"/>
                                <w:lang w:val="en-US" w:eastAsia="zh-CN"/>
                              </w:rPr>
                              <w:t>单位：万元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55pt;margin-top:31.75pt;height:24pt;width:67.45pt;z-index:251661312;mso-width-relative:page;mso-height-relative:page;" fillcolor="#F2F2F2 [3052]" filled="t" stroked="f" coordsize="21600,21600" o:gfxdata="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H9ArZ1QAAAAoBAAAPAAAAAAAAAAEAIAAAACIAAABkcnMvZG93bnJldi54bWxQ&#10;SwECFAAUAAAACACHTuJAx5q9j2wCAAC8BAAADgAAAAAAAAABACAAAAAkAQAAZHJzL2Uyb0RvYy54&#10;bWxQSwUGAAAAAAYABgBZAQAAAgYAAAAA&#10;">
                <v:fill on="t" focussize="0,0"/>
                <v:stroke on="f" weight="0.5pt"/>
                <v:imagedata o:title=""/>
                <o:lock v:ext="edit" aspectratio="f"/>
                <v:textbox>
                  <w:txbxContent>
                    <w:p>
                      <w:pPr>
                        <w:rPr>
                          <w:rFonts w:hint="eastAsia" w:eastAsia="宋体"/>
                          <w:sz w:val="18"/>
                          <w:szCs w:val="18"/>
                          <w:lang w:val="en-US" w:eastAsia="zh-CN"/>
                        </w:rPr>
                      </w:pPr>
                      <w:r>
                        <w:rPr>
                          <w:rFonts w:hint="eastAsia"/>
                          <w:sz w:val="18"/>
                          <w:szCs w:val="18"/>
                          <w:lang w:val="en-US" w:eastAsia="zh-CN"/>
                        </w:rPr>
                        <w:t>单位：万元</w:t>
                      </w:r>
                    </w:p>
                  </w:txbxContent>
                </v:textbox>
              </v:shape>
            </w:pict>
          </mc:Fallback>
        </mc:AlternateContent>
      </w:r>
      <w:r>
        <w:drawing>
          <wp:inline distT="0" distB="0" distL="114300" distR="114300">
            <wp:extent cx="5285105" cy="2781300"/>
            <wp:effectExtent l="4445" t="4445" r="6350" b="1460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4"/>
        <w:numPr>
          <w:ilvl w:val="0"/>
          <w:numId w:val="3"/>
        </w:numPr>
        <w:spacing w:line="600" w:lineRule="exact"/>
        <w:ind w:firstLineChars="0"/>
        <w:outlineLvl w:val="1"/>
        <w:rPr>
          <w:rStyle w:val="26"/>
          <w:rFonts w:ascii="黑体" w:hAnsi="黑体" w:eastAsia="黑体"/>
          <w:b w:val="0"/>
          <w:color w:val="auto"/>
        </w:rPr>
      </w:pPr>
      <w:bookmarkStart w:id="50" w:name="_Toc15396604"/>
      <w:bookmarkStart w:id="51" w:name="_Toc31551"/>
      <w:bookmarkStart w:id="52" w:name="_Toc15377206"/>
      <w:bookmarkStart w:id="53" w:name="_Toc18226"/>
      <w:r>
        <w:rPr>
          <w:rFonts w:hint="eastAsia" w:ascii="黑体" w:hAnsi="黑体" w:eastAsia="黑体"/>
          <w:color w:val="auto"/>
          <w:sz w:val="32"/>
          <w:szCs w:val="32"/>
        </w:rPr>
        <w:t>收</w:t>
      </w:r>
      <w:r>
        <w:rPr>
          <w:rStyle w:val="26"/>
          <w:rFonts w:hint="eastAsia" w:ascii="黑体" w:hAnsi="黑体" w:eastAsia="黑体"/>
          <w:b w:val="0"/>
          <w:color w:val="auto"/>
        </w:rPr>
        <w:t>入决算情况说明</w:t>
      </w:r>
      <w:bookmarkEnd w:id="50"/>
      <w:bookmarkEnd w:id="51"/>
      <w:bookmarkEnd w:id="52"/>
      <w:bookmarkEnd w:id="53"/>
    </w:p>
    <w:p>
      <w:pPr>
        <w:spacing w:line="600" w:lineRule="exact"/>
        <w:ind w:firstLine="640" w:firstLineChars="200"/>
        <w:outlineLvl w:val="1"/>
        <w:rPr>
          <w:rFonts w:ascii="仿宋" w:hAnsi="仿宋" w:eastAsia="仿宋"/>
          <w:color w:val="auto"/>
          <w:sz w:val="32"/>
          <w:szCs w:val="32"/>
        </w:rPr>
      </w:pPr>
      <w:bookmarkStart w:id="54" w:name="_Toc8029"/>
      <w:bookmarkStart w:id="55" w:name="_Toc10445"/>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年本年收入合计</w:t>
      </w:r>
      <w:r>
        <w:rPr>
          <w:rFonts w:hint="eastAsia" w:ascii="仿宋" w:hAnsi="仿宋" w:eastAsia="仿宋"/>
          <w:color w:val="auto"/>
          <w:sz w:val="32"/>
          <w:szCs w:val="32"/>
          <w:lang w:val="en-US" w:eastAsia="zh-CN"/>
        </w:rPr>
        <w:t>10371.90</w:t>
      </w:r>
      <w:r>
        <w:rPr>
          <w:rFonts w:hint="eastAsia" w:ascii="仿宋" w:hAnsi="仿宋" w:eastAsia="仿宋"/>
          <w:color w:val="auto"/>
          <w:sz w:val="32"/>
          <w:szCs w:val="32"/>
        </w:rPr>
        <w:t>万元，其中：一般公共预算财政拨款收入</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97.32</w:t>
      </w:r>
      <w:r>
        <w:rPr>
          <w:rFonts w:ascii="仿宋" w:hAnsi="仿宋" w:eastAsia="仿宋"/>
          <w:color w:val="auto"/>
          <w:sz w:val="32"/>
          <w:szCs w:val="32"/>
        </w:rPr>
        <w:t>%</w:t>
      </w:r>
      <w:r>
        <w:rPr>
          <w:rFonts w:hint="eastAsia" w:ascii="仿宋" w:hAnsi="仿宋" w:eastAsia="仿宋"/>
          <w:color w:val="auto"/>
          <w:sz w:val="32"/>
          <w:szCs w:val="32"/>
        </w:rPr>
        <w:t>；经营收入</w:t>
      </w:r>
      <w:r>
        <w:rPr>
          <w:rFonts w:hint="eastAsia" w:ascii="仿宋" w:hAnsi="仿宋" w:eastAsia="仿宋"/>
          <w:color w:val="auto"/>
          <w:sz w:val="32"/>
          <w:szCs w:val="32"/>
          <w:lang w:val="en-US" w:eastAsia="zh-CN"/>
        </w:rPr>
        <w:t>116.10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1.12</w:t>
      </w:r>
      <w:r>
        <w:rPr>
          <w:rFonts w:ascii="仿宋" w:hAnsi="仿宋" w:eastAsia="仿宋"/>
          <w:color w:val="auto"/>
          <w:sz w:val="32"/>
          <w:szCs w:val="32"/>
        </w:rPr>
        <w:t>%</w:t>
      </w:r>
      <w:r>
        <w:rPr>
          <w:rFonts w:hint="eastAsia" w:ascii="仿宋" w:hAnsi="仿宋" w:eastAsia="仿宋"/>
          <w:color w:val="auto"/>
          <w:sz w:val="32"/>
          <w:szCs w:val="32"/>
        </w:rPr>
        <w:t>；其他收入</w:t>
      </w:r>
      <w:r>
        <w:rPr>
          <w:rFonts w:hint="eastAsia" w:ascii="仿宋" w:hAnsi="仿宋" w:eastAsia="仿宋"/>
          <w:color w:val="auto"/>
          <w:sz w:val="32"/>
          <w:szCs w:val="32"/>
          <w:lang w:val="en-US" w:eastAsia="zh-CN"/>
        </w:rPr>
        <w:t>160.83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1.56</w:t>
      </w:r>
      <w:r>
        <w:rPr>
          <w:rFonts w:ascii="仿宋" w:hAnsi="仿宋" w:eastAsia="仿宋"/>
          <w:color w:val="auto"/>
          <w:sz w:val="32"/>
          <w:szCs w:val="32"/>
        </w:rPr>
        <w:t>%</w:t>
      </w:r>
      <w:r>
        <w:rPr>
          <w:rFonts w:hint="eastAsia" w:ascii="仿宋" w:hAnsi="仿宋" w:eastAsia="仿宋"/>
          <w:color w:val="auto"/>
          <w:sz w:val="32"/>
          <w:szCs w:val="32"/>
          <w:lang w:eastAsia="zh-CN"/>
        </w:rPr>
        <w:t>。</w:t>
      </w:r>
      <w:bookmarkEnd w:id="54"/>
      <w:bookmarkEnd w:id="55"/>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收入决算结构图</w:t>
      </w:r>
      <w:r>
        <w:rPr>
          <w:rFonts w:hint="eastAsia" w:ascii="仿宋" w:hAnsi="仿宋" w:eastAsia="仿宋"/>
          <w:color w:val="auto"/>
          <w:sz w:val="32"/>
          <w:szCs w:val="32"/>
          <w:lang w:eastAsia="zh-CN"/>
        </w:rPr>
        <w:t>如下：</w:t>
      </w:r>
    </w:p>
    <w:p>
      <w:pPr>
        <w:pStyle w:val="2"/>
        <w:rPr>
          <w:rFonts w:hint="eastAsia"/>
          <w:lang w:eastAsia="zh-CN"/>
        </w:rPr>
      </w:pPr>
      <w:r>
        <w:drawing>
          <wp:inline distT="0" distB="0" distL="114300" distR="114300">
            <wp:extent cx="5248275" cy="2818765"/>
            <wp:effectExtent l="4445" t="4445" r="5080" b="15240"/>
            <wp:docPr id="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4"/>
        <w:numPr>
          <w:ilvl w:val="0"/>
          <w:numId w:val="3"/>
        </w:numPr>
        <w:spacing w:line="600" w:lineRule="exact"/>
        <w:ind w:firstLineChars="0"/>
        <w:outlineLvl w:val="1"/>
        <w:rPr>
          <w:rStyle w:val="26"/>
          <w:rFonts w:ascii="黑体" w:hAnsi="黑体" w:eastAsia="黑体"/>
          <w:b w:val="0"/>
          <w:color w:val="auto"/>
        </w:rPr>
      </w:pPr>
      <w:bookmarkStart w:id="56" w:name="_Toc15396605"/>
      <w:bookmarkStart w:id="57" w:name="_Toc28060"/>
      <w:bookmarkStart w:id="58" w:name="_Toc23203"/>
      <w:bookmarkStart w:id="59" w:name="_Toc15377207"/>
      <w:r>
        <w:rPr>
          <w:rFonts w:hint="eastAsia" w:ascii="黑体" w:hAnsi="黑体" w:eastAsia="黑体"/>
          <w:color w:val="auto"/>
          <w:sz w:val="32"/>
          <w:szCs w:val="32"/>
        </w:rPr>
        <w:t>支</w:t>
      </w:r>
      <w:r>
        <w:rPr>
          <w:rStyle w:val="26"/>
          <w:rFonts w:hint="eastAsia" w:ascii="黑体" w:hAnsi="黑体" w:eastAsia="黑体"/>
          <w:b w:val="0"/>
          <w:color w:val="auto"/>
        </w:rPr>
        <w:t>出决算情况说明</w:t>
      </w:r>
      <w:bookmarkEnd w:id="56"/>
      <w:bookmarkEnd w:id="57"/>
      <w:bookmarkEnd w:id="58"/>
      <w:bookmarkEnd w:id="59"/>
    </w:p>
    <w:p>
      <w:pPr>
        <w:spacing w:line="600" w:lineRule="exact"/>
        <w:ind w:firstLine="640" w:firstLineChars="200"/>
        <w:outlineLvl w:val="1"/>
        <w:rPr>
          <w:rFonts w:ascii="仿宋" w:hAnsi="仿宋" w:eastAsia="仿宋"/>
          <w:color w:val="auto"/>
          <w:sz w:val="32"/>
          <w:szCs w:val="32"/>
        </w:rPr>
      </w:pPr>
      <w:bookmarkStart w:id="60" w:name="_Toc15050"/>
      <w:bookmarkStart w:id="61" w:name="_Toc26958"/>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年本年支出合计</w:t>
      </w:r>
      <w:r>
        <w:rPr>
          <w:rFonts w:hint="eastAsia" w:ascii="仿宋" w:hAnsi="仿宋" w:eastAsia="仿宋"/>
          <w:color w:val="auto"/>
          <w:sz w:val="32"/>
          <w:szCs w:val="32"/>
          <w:lang w:val="en-US" w:eastAsia="zh-CN"/>
        </w:rPr>
        <w:t>11127.11</w:t>
      </w:r>
      <w:r>
        <w:rPr>
          <w:rFonts w:hint="eastAsia" w:ascii="仿宋" w:hAnsi="仿宋" w:eastAsia="仿宋"/>
          <w:color w:val="auto"/>
          <w:sz w:val="32"/>
          <w:szCs w:val="32"/>
        </w:rPr>
        <w:t>万元，其中：基本支出</w:t>
      </w:r>
      <w:r>
        <w:rPr>
          <w:rFonts w:hint="eastAsia" w:ascii="仿宋" w:hAnsi="仿宋" w:eastAsia="仿宋"/>
          <w:color w:val="auto"/>
          <w:sz w:val="32"/>
          <w:szCs w:val="32"/>
          <w:lang w:val="en-US" w:eastAsia="zh-CN"/>
        </w:rPr>
        <w:t>6826.00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61.35</w:t>
      </w:r>
      <w:r>
        <w:rPr>
          <w:rFonts w:ascii="仿宋" w:hAnsi="仿宋" w:eastAsia="仿宋"/>
          <w:color w:val="auto"/>
          <w:sz w:val="32"/>
          <w:szCs w:val="32"/>
        </w:rPr>
        <w:t>%</w:t>
      </w:r>
      <w:r>
        <w:rPr>
          <w:rFonts w:hint="eastAsia" w:ascii="仿宋" w:hAnsi="仿宋" w:eastAsia="仿宋"/>
          <w:color w:val="auto"/>
          <w:sz w:val="32"/>
          <w:szCs w:val="32"/>
        </w:rPr>
        <w:t>；项目支出</w:t>
      </w:r>
      <w:r>
        <w:rPr>
          <w:rFonts w:hint="eastAsia" w:ascii="仿宋" w:hAnsi="仿宋" w:eastAsia="仿宋"/>
          <w:color w:val="auto"/>
          <w:sz w:val="32"/>
          <w:szCs w:val="32"/>
          <w:lang w:val="en-US" w:eastAsia="zh-CN"/>
        </w:rPr>
        <w:t>4281.53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38.48</w:t>
      </w:r>
      <w:r>
        <w:rPr>
          <w:rFonts w:ascii="仿宋" w:hAnsi="仿宋" w:eastAsia="仿宋"/>
          <w:color w:val="auto"/>
          <w:sz w:val="32"/>
          <w:szCs w:val="32"/>
        </w:rPr>
        <w:t>%</w:t>
      </w:r>
      <w:r>
        <w:rPr>
          <w:rFonts w:hint="eastAsia" w:ascii="仿宋" w:hAnsi="仿宋" w:eastAsia="仿宋"/>
          <w:color w:val="auto"/>
          <w:sz w:val="32"/>
          <w:szCs w:val="32"/>
        </w:rPr>
        <w:t>；经营支出</w:t>
      </w:r>
      <w:r>
        <w:rPr>
          <w:rFonts w:hint="eastAsia" w:ascii="仿宋" w:hAnsi="仿宋" w:eastAsia="仿宋"/>
          <w:color w:val="auto"/>
          <w:sz w:val="32"/>
          <w:szCs w:val="32"/>
          <w:lang w:val="en-US" w:eastAsia="zh-CN"/>
        </w:rPr>
        <w:t>19.58</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0.17</w:t>
      </w:r>
      <w:r>
        <w:rPr>
          <w:rFonts w:ascii="仿宋" w:hAnsi="仿宋" w:eastAsia="仿宋"/>
          <w:color w:val="auto"/>
          <w:sz w:val="32"/>
          <w:szCs w:val="32"/>
        </w:rPr>
        <w:t>%</w:t>
      </w:r>
      <w:r>
        <w:rPr>
          <w:rFonts w:hint="eastAsia" w:ascii="仿宋" w:hAnsi="仿宋" w:eastAsia="仿宋"/>
          <w:color w:val="auto"/>
          <w:sz w:val="32"/>
          <w:szCs w:val="32"/>
        </w:rPr>
        <w:t>。</w:t>
      </w:r>
      <w:bookmarkEnd w:id="60"/>
      <w:bookmarkEnd w:id="61"/>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支出决算结构图</w:t>
      </w:r>
      <w:r>
        <w:rPr>
          <w:rFonts w:hint="eastAsia" w:ascii="仿宋" w:hAnsi="仿宋" w:eastAsia="仿宋"/>
          <w:color w:val="auto"/>
          <w:sz w:val="32"/>
          <w:szCs w:val="32"/>
          <w:lang w:eastAsia="zh-CN"/>
        </w:rPr>
        <w:t>如下：</w:t>
      </w:r>
    </w:p>
    <w:p>
      <w:pPr>
        <w:pStyle w:val="2"/>
        <w:rPr>
          <w:rFonts w:hint="eastAsia"/>
          <w:lang w:eastAsia="zh-CN"/>
        </w:rPr>
      </w:pPr>
      <w:r>
        <w:drawing>
          <wp:inline distT="0" distB="0" distL="114300" distR="114300">
            <wp:extent cx="5247640" cy="2952115"/>
            <wp:effectExtent l="4445" t="4445" r="5715" b="1524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ascii="仿宋" w:hAnsi="仿宋" w:eastAsia="仿宋"/>
          <w:color w:val="auto"/>
          <w:sz w:val="32"/>
          <w:szCs w:val="32"/>
          <w:lang w:eastAsia="zh-CN"/>
        </w:rPr>
      </w:pPr>
    </w:p>
    <w:p>
      <w:pPr>
        <w:spacing w:line="600" w:lineRule="exact"/>
        <w:ind w:firstLine="640" w:firstLineChars="200"/>
        <w:outlineLvl w:val="1"/>
        <w:rPr>
          <w:rStyle w:val="26"/>
          <w:rFonts w:ascii="黑体" w:hAnsi="黑体" w:eastAsia="黑体"/>
          <w:b w:val="0"/>
          <w:color w:val="auto"/>
        </w:rPr>
      </w:pPr>
      <w:bookmarkStart w:id="62" w:name="_Toc5559"/>
      <w:bookmarkStart w:id="63" w:name="_Toc14060"/>
      <w:bookmarkStart w:id="64" w:name="_Toc15377208"/>
      <w:bookmarkStart w:id="65" w:name="_Toc15396606"/>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62"/>
      <w:bookmarkEnd w:id="63"/>
      <w:bookmarkEnd w:id="64"/>
      <w:bookmarkEnd w:id="65"/>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w:t>
      </w:r>
      <w:r>
        <w:rPr>
          <w:rFonts w:hint="eastAsia" w:ascii="仿宋" w:hAnsi="仿宋" w:eastAsia="仿宋"/>
          <w:color w:val="auto"/>
          <w:sz w:val="32"/>
          <w:szCs w:val="32"/>
        </w:rPr>
        <w:t>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年财政拨款收、支总计</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万元。与201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年相比，财政拨款收、支总计各增加</w:t>
      </w:r>
      <w:r>
        <w:rPr>
          <w:rFonts w:hint="eastAsia" w:ascii="仿宋" w:hAnsi="仿宋" w:eastAsia="仿宋"/>
          <w:color w:val="auto"/>
          <w:sz w:val="32"/>
          <w:szCs w:val="32"/>
          <w:lang w:val="en-US" w:eastAsia="zh-CN"/>
        </w:rPr>
        <w:t>3745.33</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58.99</w:t>
      </w:r>
      <w:r>
        <w:rPr>
          <w:rFonts w:hint="eastAsia" w:ascii="仿宋" w:hAnsi="仿宋" w:eastAsia="仿宋"/>
          <w:color w:val="auto"/>
          <w:sz w:val="32"/>
          <w:szCs w:val="32"/>
        </w:rPr>
        <w:t>%。主要变动原因是</w:t>
      </w:r>
      <w:r>
        <w:rPr>
          <w:rFonts w:hint="eastAsia" w:ascii="仿宋" w:hAnsi="仿宋" w:eastAsia="仿宋"/>
          <w:color w:val="auto"/>
          <w:sz w:val="32"/>
          <w:szCs w:val="32"/>
          <w:lang w:val="en-US" w:eastAsia="zh-CN"/>
        </w:rPr>
        <w:t>2020年增加了</w:t>
      </w:r>
      <w:r>
        <w:rPr>
          <w:rFonts w:hint="eastAsia" w:ascii="仿宋" w:hAnsi="仿宋" w:eastAsia="仿宋"/>
          <w:color w:val="auto"/>
          <w:sz w:val="32"/>
          <w:szCs w:val="32"/>
        </w:rPr>
        <w:t>四川省重点行业企业用地调查采样</w:t>
      </w:r>
      <w:r>
        <w:rPr>
          <w:rFonts w:hint="eastAsia" w:ascii="仿宋" w:hAnsi="仿宋" w:eastAsia="仿宋"/>
          <w:color w:val="auto"/>
          <w:sz w:val="32"/>
          <w:szCs w:val="32"/>
          <w:lang w:eastAsia="zh-CN"/>
        </w:rPr>
        <w:t>项目的</w:t>
      </w:r>
      <w:r>
        <w:rPr>
          <w:rFonts w:hint="eastAsia" w:ascii="仿宋" w:hAnsi="仿宋" w:eastAsia="仿宋"/>
          <w:color w:val="auto"/>
          <w:sz w:val="32"/>
          <w:szCs w:val="32"/>
          <w:lang w:val="en-US" w:eastAsia="zh-CN"/>
        </w:rPr>
        <w:t>2445.00万元和第四批生态环境保护资金1699.72万元。</w:t>
      </w:r>
    </w:p>
    <w:p>
      <w:pPr>
        <w:spacing w:line="60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财政拨款收、支决算总计变动情况</w:t>
      </w:r>
      <w:r>
        <w:rPr>
          <w:rFonts w:hint="eastAsia" w:ascii="仿宋" w:hAnsi="仿宋" w:eastAsia="仿宋"/>
          <w:color w:val="auto"/>
          <w:sz w:val="32"/>
          <w:szCs w:val="32"/>
          <w:lang w:eastAsia="zh-CN"/>
        </w:rPr>
        <w:t>如下图：</w:t>
      </w:r>
    </w:p>
    <w:p>
      <w:pPr>
        <w:spacing w:line="600" w:lineRule="exact"/>
        <w:ind w:firstLine="640" w:firstLineChars="200"/>
        <w:rPr>
          <w:rFonts w:ascii="仿宋" w:hAnsi="仿宋" w:eastAsia="仿宋"/>
          <w:color w:val="auto"/>
          <w:sz w:val="32"/>
          <w:szCs w:val="32"/>
        </w:rPr>
      </w:pPr>
    </w:p>
    <w:p>
      <w:pPr>
        <w:spacing w:line="600" w:lineRule="exact"/>
        <w:ind w:firstLine="420" w:firstLineChars="200"/>
        <w:outlineLvl w:val="1"/>
        <w:rPr>
          <w:rStyle w:val="26"/>
          <w:rFonts w:ascii="黑体" w:hAnsi="黑体" w:eastAsia="黑体"/>
          <w:b w:val="0"/>
          <w:color w:val="auto"/>
        </w:rPr>
      </w:pPr>
      <w:bookmarkStart w:id="66" w:name="_Toc13618"/>
      <w:bookmarkStart w:id="67" w:name="_Toc30828"/>
      <w:bookmarkStart w:id="68" w:name="_Toc15377209"/>
      <w:bookmarkStart w:id="69" w:name="_Toc15396607"/>
      <w:r>
        <w:rPr>
          <w:sz w:val="21"/>
        </w:rPr>
        <mc:AlternateContent>
          <mc:Choice Requires="wps">
            <w:drawing>
              <wp:anchor distT="0" distB="0" distL="114300" distR="114300" simplePos="0" relativeHeight="251662336" behindDoc="0" locked="0" layoutInCell="1" allowOverlap="1">
                <wp:simplePos x="0" y="0"/>
                <wp:positionH relativeFrom="column">
                  <wp:posOffset>4271010</wp:posOffset>
                </wp:positionH>
                <wp:positionV relativeFrom="paragraph">
                  <wp:posOffset>-2511425</wp:posOffset>
                </wp:positionV>
                <wp:extent cx="847725" cy="314325"/>
                <wp:effectExtent l="0" t="0" r="9525" b="9525"/>
                <wp:wrapNone/>
                <wp:docPr id="9" name="文本框 9"/>
                <wp:cNvGraphicFramePr/>
                <a:graphic xmlns:a="http://schemas.openxmlformats.org/drawingml/2006/main">
                  <a:graphicData uri="http://schemas.microsoft.com/office/word/2010/wordprocessingShape">
                    <wps:wsp>
                      <wps:cNvSpPr txBox="1"/>
                      <wps:spPr>
                        <a:xfrm>
                          <a:off x="5414010" y="4740275"/>
                          <a:ext cx="847725" cy="314325"/>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sz w:val="18"/>
                                <w:szCs w:val="18"/>
                                <w:lang w:eastAsia="zh-CN"/>
                              </w:rPr>
                            </w:pPr>
                            <w:r>
                              <w:rPr>
                                <w:rFonts w:hint="eastAsia"/>
                                <w:sz w:val="18"/>
                                <w:szCs w:val="18"/>
                                <w:lang w:eastAsia="zh-CN"/>
                              </w:rPr>
                              <w:t>单位：元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3pt;margin-top:-197.75pt;height:24.75pt;width:66.75pt;z-index:251662336;mso-width-relative:page;mso-height-relative:page;" fillcolor="#F2F2F2 [3052]" filled="t" stroked="f" coordsize="21600,21600" o:gfxdata="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It1tDTYAAAADQEAAA8AAAAAAAAAAQAgAAAAIgAAAGRycy9kb3ducmV2&#10;LnhtbFBLAQIUABQAAAAIAIdO4kDOvKBlbgIAALwEAAAOAAAAAAAAAAEAIAAAACcBAABkcnMvZTJv&#10;RG9jLnhtbFBLBQYAAAAABgAGAFkBAAAHBgAAAAA=&#10;">
                <v:fill on="t" focussize="0,0"/>
                <v:stroke on="f" weight="0.5pt"/>
                <v:imagedata o:title=""/>
                <o:lock v:ext="edit" aspectratio="f"/>
                <v:textbox>
                  <w:txbxContent>
                    <w:p>
                      <w:pPr>
                        <w:rPr>
                          <w:rFonts w:hint="eastAsia" w:eastAsia="宋体"/>
                          <w:sz w:val="18"/>
                          <w:szCs w:val="18"/>
                          <w:lang w:eastAsia="zh-CN"/>
                        </w:rPr>
                      </w:pPr>
                      <w:r>
                        <w:rPr>
                          <w:rFonts w:hint="eastAsia"/>
                          <w:sz w:val="18"/>
                          <w:szCs w:val="18"/>
                          <w:lang w:eastAsia="zh-CN"/>
                        </w:rPr>
                        <w:t>单位：元</w:t>
                      </w:r>
                    </w:p>
                  </w:txbxContent>
                </v:textbox>
              </v:shape>
            </w:pict>
          </mc:Fallback>
        </mc:AlternateContent>
      </w:r>
      <w:r>
        <w:drawing>
          <wp:anchor distT="0" distB="0" distL="114300" distR="114300" simplePos="0" relativeHeight="251659264" behindDoc="1" locked="0" layoutInCell="1" allowOverlap="1">
            <wp:simplePos x="0" y="0"/>
            <wp:positionH relativeFrom="column">
              <wp:posOffset>61595</wp:posOffset>
            </wp:positionH>
            <wp:positionV relativeFrom="paragraph">
              <wp:posOffset>90170</wp:posOffset>
            </wp:positionV>
            <wp:extent cx="5219065" cy="2743200"/>
            <wp:effectExtent l="4445" t="4445" r="15240" b="14605"/>
            <wp:wrapTight wrapText="bothSides">
              <wp:wrapPolygon>
                <wp:start x="-18" y="-35"/>
                <wp:lineTo x="-18" y="21565"/>
                <wp:lineTo x="21505" y="21565"/>
                <wp:lineTo x="21505" y="-35"/>
                <wp:lineTo x="-18" y="-35"/>
              </wp:wrapPolygon>
            </wp:wrapTight>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般公共预算财政拨款支出决算情况说明</w:t>
      </w:r>
      <w:bookmarkEnd w:id="66"/>
      <w:bookmarkEnd w:id="67"/>
      <w:bookmarkEnd w:id="68"/>
      <w:bookmarkEnd w:id="69"/>
    </w:p>
    <w:p>
      <w:pPr>
        <w:spacing w:line="600" w:lineRule="exact"/>
        <w:ind w:firstLine="643" w:firstLineChars="200"/>
        <w:outlineLvl w:val="2"/>
        <w:rPr>
          <w:rFonts w:ascii="仿宋" w:hAnsi="仿宋" w:eastAsia="仿宋"/>
          <w:b/>
          <w:color w:val="auto"/>
          <w:sz w:val="32"/>
          <w:szCs w:val="32"/>
        </w:rPr>
      </w:pPr>
      <w:bookmarkStart w:id="70" w:name="_Toc15377210"/>
      <w:r>
        <w:rPr>
          <w:rFonts w:hint="eastAsia" w:ascii="仿宋" w:hAnsi="仿宋" w:eastAsia="仿宋"/>
          <w:b/>
          <w:color w:val="auto"/>
          <w:sz w:val="32"/>
          <w:szCs w:val="32"/>
        </w:rPr>
        <w:t>（一）一般公共预算财政拨款支出决算总体情况</w:t>
      </w:r>
      <w:bookmarkEnd w:id="70"/>
    </w:p>
    <w:p>
      <w:pPr>
        <w:spacing w:line="600" w:lineRule="exact"/>
        <w:ind w:firstLine="640" w:firstLineChars="20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万元，占本年支出合计的</w:t>
      </w:r>
      <w:r>
        <w:rPr>
          <w:rFonts w:hint="eastAsia" w:ascii="仿宋" w:hAnsi="仿宋" w:eastAsia="仿宋"/>
          <w:color w:val="auto"/>
          <w:sz w:val="32"/>
          <w:szCs w:val="32"/>
          <w:lang w:val="en-US" w:eastAsia="zh-CN"/>
        </w:rPr>
        <w:t>90.72</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rPr>
        <w:t>年</w:t>
      </w:r>
      <w:r>
        <w:rPr>
          <w:rFonts w:hint="eastAsia" w:ascii="仿宋" w:hAnsi="仿宋" w:eastAsia="仿宋"/>
          <w:color w:val="auto"/>
          <w:sz w:val="32"/>
          <w:szCs w:val="32"/>
          <w:lang w:eastAsia="zh-CN"/>
        </w:rPr>
        <w:t>的</w:t>
      </w:r>
      <w:r>
        <w:rPr>
          <w:rFonts w:hint="eastAsia" w:ascii="仿宋" w:hAnsi="仿宋" w:eastAsia="仿宋"/>
          <w:color w:val="auto"/>
          <w:sz w:val="32"/>
          <w:szCs w:val="32"/>
          <w:lang w:val="en-US" w:eastAsia="zh-CN"/>
        </w:rPr>
        <w:t>6349.63万元</w:t>
      </w:r>
      <w:r>
        <w:rPr>
          <w:rFonts w:hint="eastAsia" w:ascii="仿宋" w:hAnsi="仿宋" w:eastAsia="仿宋"/>
          <w:color w:val="auto"/>
          <w:sz w:val="32"/>
          <w:szCs w:val="32"/>
        </w:rPr>
        <w:t>相比，一般公共预算财政拨款增加</w:t>
      </w:r>
      <w:r>
        <w:rPr>
          <w:rFonts w:hint="eastAsia" w:ascii="仿宋" w:hAnsi="仿宋" w:eastAsia="仿宋"/>
          <w:color w:val="auto"/>
          <w:sz w:val="32"/>
          <w:szCs w:val="32"/>
          <w:lang w:val="en-US" w:eastAsia="zh-CN"/>
        </w:rPr>
        <w:t>3745.33</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58.99</w:t>
      </w:r>
      <w:r>
        <w:rPr>
          <w:rFonts w:ascii="仿宋" w:hAnsi="仿宋" w:eastAsia="仿宋"/>
          <w:color w:val="auto"/>
          <w:sz w:val="32"/>
          <w:szCs w:val="32"/>
        </w:rPr>
        <w:t>%</w:t>
      </w:r>
      <w:r>
        <w:rPr>
          <w:rFonts w:hint="eastAsia" w:ascii="仿宋" w:hAnsi="仿宋" w:eastAsia="仿宋"/>
          <w:color w:val="auto"/>
          <w:sz w:val="32"/>
          <w:szCs w:val="32"/>
        </w:rPr>
        <w:t>。主要变动原因是</w:t>
      </w:r>
      <w:r>
        <w:rPr>
          <w:rFonts w:hint="eastAsia" w:ascii="仿宋_GB2312" w:hAnsi="仿宋_GB2312" w:eastAsia="仿宋_GB2312" w:cs="仿宋_GB2312"/>
          <w:sz w:val="32"/>
          <w:szCs w:val="32"/>
        </w:rPr>
        <w:t>节能环保支出增加4144.72万元，住房保障支出减少了85.00万元</w:t>
      </w:r>
      <w:r>
        <w:rPr>
          <w:rFonts w:hint="eastAsia" w:ascii="仿宋_GB2312" w:hAnsi="仿宋_GB2312" w:eastAsia="仿宋_GB2312" w:cs="仿宋_GB2312"/>
          <w:color w:val="000000"/>
          <w:sz w:val="32"/>
          <w:szCs w:val="32"/>
        </w:rPr>
        <w:t>。</w:t>
      </w:r>
    </w:p>
    <w:p>
      <w:pPr>
        <w:spacing w:line="600" w:lineRule="exact"/>
        <w:ind w:firstLine="640" w:firstLineChars="200"/>
        <w:outlineLvl w:val="2"/>
        <w:rPr>
          <w:rFonts w:hint="eastAsia" w:ascii="仿宋" w:hAnsi="仿宋" w:eastAsia="仿宋"/>
          <w:color w:val="auto"/>
          <w:sz w:val="32"/>
          <w:szCs w:val="32"/>
          <w:lang w:eastAsia="zh-CN"/>
        </w:rPr>
      </w:pPr>
      <w:r>
        <w:rPr>
          <w:rFonts w:hint="eastAsia" w:ascii="仿宋" w:hAnsi="仿宋" w:eastAsia="仿宋"/>
          <w:color w:val="auto"/>
          <w:sz w:val="32"/>
          <w:szCs w:val="32"/>
        </w:rPr>
        <w:t>一般公共预算财政拨款支出决算变动情况</w:t>
      </w:r>
      <w:bookmarkStart w:id="71" w:name="_Toc15377211"/>
      <w:r>
        <w:rPr>
          <w:rFonts w:hint="eastAsia" w:ascii="仿宋" w:hAnsi="仿宋" w:eastAsia="仿宋"/>
          <w:color w:val="auto"/>
          <w:sz w:val="32"/>
          <w:szCs w:val="32"/>
          <w:lang w:eastAsia="zh-CN"/>
        </w:rPr>
        <w:t>如下图：</w:t>
      </w:r>
    </w:p>
    <w:p>
      <w:pPr>
        <w:pStyle w:val="2"/>
        <w:rPr>
          <w:rFonts w:hint="eastAsia" w:ascii="仿宋" w:hAnsi="仿宋" w:eastAsia="仿宋"/>
          <w:color w:val="auto"/>
          <w:sz w:val="32"/>
          <w:szCs w:val="32"/>
          <w:lang w:eastAsia="zh-CN"/>
        </w:rPr>
      </w:pPr>
      <w:r>
        <w:rPr>
          <w:sz w:val="30"/>
        </w:rPr>
        <mc:AlternateContent>
          <mc:Choice Requires="wps">
            <w:drawing>
              <wp:anchor distT="0" distB="0" distL="114300" distR="114300" simplePos="0" relativeHeight="251660288" behindDoc="0" locked="0" layoutInCell="1" allowOverlap="1">
                <wp:simplePos x="0" y="0"/>
                <wp:positionH relativeFrom="column">
                  <wp:posOffset>4394835</wp:posOffset>
                </wp:positionH>
                <wp:positionV relativeFrom="paragraph">
                  <wp:posOffset>497205</wp:posOffset>
                </wp:positionV>
                <wp:extent cx="647700" cy="295275"/>
                <wp:effectExtent l="0" t="0" r="0" b="9525"/>
                <wp:wrapNone/>
                <wp:docPr id="7" name="文本框 7"/>
                <wp:cNvGraphicFramePr/>
                <a:graphic xmlns:a="http://schemas.openxmlformats.org/drawingml/2006/main">
                  <a:graphicData uri="http://schemas.microsoft.com/office/word/2010/wordprocessingShape">
                    <wps:wsp>
                      <wps:cNvSpPr txBox="1"/>
                      <wps:spPr>
                        <a:xfrm>
                          <a:off x="5537835" y="2935605"/>
                          <a:ext cx="647700" cy="295275"/>
                        </a:xfrm>
                        <a:prstGeom prst="rect">
                          <a:avLst/>
                        </a:prstGeom>
                        <a:solidFill>
                          <a:schemeClr val="bg1">
                            <a:lumMod val="95000"/>
                          </a:schemeClr>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sz w:val="18"/>
                                <w:szCs w:val="18"/>
                                <w:lang w:eastAsia="zh-CN"/>
                              </w:rPr>
                              <w:t>单位：元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05pt;margin-top:39.15pt;height:23.25pt;width:51pt;z-index:251660288;mso-width-relative:page;mso-height-relative:page;" fillcolor="#F2F2F2 [3052]" filled="t" stroked="f" coordsize="21600,21600" o:gfxdata="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dQQPdYAAAAKAQAADwAAAAAAAAABACAAAAAiAAAAZHJzL2Rvd25yZXYueG1s&#10;UEsBAhQAFAAAAAgAh07iQNrKUxpsAgAAvAQAAA4AAAAAAAAAAQAgAAAAJQEAAGRycy9lMm9Eb2Mu&#10;eG1sUEsFBgAAAAAGAAYAWQEAAAMGAAAAAA==&#10;">
                <v:fill on="t" focussize="0,0"/>
                <v:stroke on="f" weight="0.5pt"/>
                <v:imagedata o:title=""/>
                <o:lock v:ext="edit" aspectratio="f"/>
                <v:textbox>
                  <w:txbxContent>
                    <w:p>
                      <w:pPr>
                        <w:rPr>
                          <w:rFonts w:hint="eastAsia" w:eastAsia="宋体"/>
                          <w:lang w:eastAsia="zh-CN"/>
                        </w:rPr>
                      </w:pPr>
                      <w:r>
                        <w:rPr>
                          <w:rFonts w:hint="eastAsia"/>
                          <w:sz w:val="18"/>
                          <w:szCs w:val="18"/>
                          <w:lang w:eastAsia="zh-CN"/>
                        </w:rPr>
                        <w:t>单位：元</w:t>
                      </w:r>
                    </w:p>
                  </w:txbxContent>
                </v:textbox>
              </v:shape>
            </w:pict>
          </mc:Fallback>
        </mc:AlternateContent>
      </w:r>
      <w:r>
        <w:drawing>
          <wp:inline distT="0" distB="0" distL="114300" distR="114300">
            <wp:extent cx="5285105" cy="2715260"/>
            <wp:effectExtent l="4445" t="4445" r="6350" b="23495"/>
            <wp:docPr id="6"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color w:val="auto"/>
          <w:sz w:val="32"/>
          <w:szCs w:val="32"/>
        </w:rPr>
      </w:pPr>
      <w:r>
        <w:rPr>
          <w:rFonts w:hint="eastAsia" w:ascii="仿宋" w:hAnsi="仿宋" w:eastAsia="仿宋"/>
          <w:b/>
          <w:color w:val="auto"/>
          <w:sz w:val="32"/>
          <w:szCs w:val="32"/>
        </w:rPr>
        <w:t>（二）一般公共预算财政拨款支出决算结构情况</w:t>
      </w:r>
      <w:bookmarkEnd w:id="71"/>
    </w:p>
    <w:p>
      <w:pPr>
        <w:spacing w:line="600" w:lineRule="exact"/>
        <w:ind w:firstLine="640"/>
        <w:rPr>
          <w:rFonts w:hint="eastAsia"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年一般公共预算财政拨款支出</w:t>
      </w:r>
      <w:r>
        <w:rPr>
          <w:rFonts w:hint="eastAsia" w:ascii="仿宋" w:hAnsi="仿宋" w:eastAsia="仿宋"/>
          <w:color w:val="auto"/>
          <w:sz w:val="32"/>
          <w:szCs w:val="32"/>
          <w:lang w:val="en-US" w:eastAsia="zh-CN"/>
        </w:rPr>
        <w:t>10094.96</w:t>
      </w:r>
      <w:r>
        <w:rPr>
          <w:rFonts w:hint="eastAsia" w:ascii="仿宋" w:hAnsi="仿宋" w:eastAsia="仿宋"/>
          <w:color w:val="auto"/>
          <w:sz w:val="32"/>
          <w:szCs w:val="32"/>
        </w:rPr>
        <w:t>万元，主要用于以下方面</w:t>
      </w:r>
      <w:r>
        <w:rPr>
          <w:rFonts w:ascii="仿宋" w:hAnsi="仿宋" w:eastAsia="仿宋"/>
          <w:color w:val="auto"/>
          <w:sz w:val="32"/>
          <w:szCs w:val="32"/>
        </w:rPr>
        <w:t>:</w:t>
      </w:r>
      <w:r>
        <w:rPr>
          <w:rFonts w:hint="eastAsia" w:ascii="仿宋" w:hAnsi="仿宋" w:eastAsia="仿宋"/>
          <w:b/>
          <w:color w:val="auto"/>
          <w:sz w:val="32"/>
          <w:szCs w:val="32"/>
        </w:rPr>
        <w:t>科学技术（类）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19</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0.19</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1398.66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13.86</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rPr>
        <w:t>卫生健康支出</w:t>
      </w:r>
      <w:r>
        <w:rPr>
          <w:rFonts w:hint="eastAsia" w:ascii="仿宋" w:hAnsi="仿宋" w:eastAsia="仿宋"/>
          <w:color w:val="auto"/>
          <w:sz w:val="32"/>
          <w:szCs w:val="32"/>
          <w:lang w:val="en-US" w:eastAsia="zh-CN"/>
        </w:rPr>
        <w:t>414.47</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4.11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bCs/>
          <w:color w:val="auto"/>
          <w:sz w:val="32"/>
          <w:szCs w:val="32"/>
          <w:lang w:eastAsia="zh-CN"/>
        </w:rPr>
        <w:t>节能环保支出</w:t>
      </w:r>
      <w:r>
        <w:rPr>
          <w:rFonts w:hint="eastAsia" w:ascii="仿宋" w:hAnsi="仿宋" w:eastAsia="仿宋"/>
          <w:color w:val="auto"/>
          <w:sz w:val="32"/>
          <w:szCs w:val="32"/>
          <w:lang w:val="en-US" w:eastAsia="zh-CN"/>
        </w:rPr>
        <w:t>4144.72万元，</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41.06</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b/>
          <w:bCs/>
          <w:color w:val="auto"/>
          <w:sz w:val="32"/>
          <w:szCs w:val="32"/>
          <w:lang w:eastAsia="zh-CN"/>
        </w:rPr>
        <w:t>资源勘探工业信息等支出</w:t>
      </w:r>
      <w:r>
        <w:rPr>
          <w:rFonts w:hint="eastAsia" w:ascii="仿宋" w:hAnsi="仿宋" w:eastAsia="仿宋"/>
          <w:color w:val="auto"/>
          <w:sz w:val="32"/>
          <w:szCs w:val="32"/>
          <w:lang w:val="en-US" w:eastAsia="zh-CN"/>
        </w:rPr>
        <w:t>3097.41万元，</w:t>
      </w:r>
      <w:r>
        <w:rPr>
          <w:rFonts w:hint="eastAsia" w:ascii="仿宋" w:hAnsi="仿宋" w:eastAsia="仿宋"/>
          <w:color w:val="auto"/>
          <w:sz w:val="32"/>
          <w:szCs w:val="32"/>
        </w:rPr>
        <w:t>占</w:t>
      </w:r>
      <w:r>
        <w:rPr>
          <w:rFonts w:hint="eastAsia" w:ascii="仿宋" w:hAnsi="仿宋" w:eastAsia="仿宋"/>
          <w:color w:val="auto"/>
          <w:sz w:val="32"/>
          <w:szCs w:val="32"/>
          <w:lang w:val="en-US" w:eastAsia="zh-CN"/>
        </w:rPr>
        <w:t>30.68</w:t>
      </w:r>
      <w:r>
        <w:rPr>
          <w:rFonts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1020.70</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10.10</w:t>
      </w:r>
      <w:r>
        <w:rPr>
          <w:rFonts w:ascii="仿宋" w:hAnsi="仿宋" w:eastAsia="仿宋"/>
          <w:color w:val="auto"/>
          <w:sz w:val="32"/>
          <w:szCs w:val="32"/>
        </w:rPr>
        <w:t>%</w:t>
      </w:r>
      <w:r>
        <w:rPr>
          <w:rFonts w:hint="eastAsia" w:ascii="仿宋" w:hAnsi="仿宋" w:eastAsia="仿宋"/>
          <w:color w:val="auto"/>
          <w:sz w:val="32"/>
          <w:szCs w:val="32"/>
        </w:rPr>
        <w:t>。</w:t>
      </w:r>
      <w:bookmarkStart w:id="72" w:name="_Toc15377212"/>
    </w:p>
    <w:p>
      <w:pPr>
        <w:spacing w:line="600" w:lineRule="exact"/>
        <w:ind w:firstLine="640"/>
        <w:rPr>
          <w:rFonts w:ascii="仿宋" w:hAnsi="仿宋" w:eastAsia="仿宋"/>
          <w:b/>
          <w:color w:val="auto"/>
          <w:sz w:val="32"/>
          <w:szCs w:val="32"/>
        </w:rPr>
      </w:pPr>
      <w:r>
        <w:rPr>
          <w:rFonts w:hint="eastAsia" w:ascii="仿宋" w:hAnsi="仿宋" w:eastAsia="仿宋"/>
          <w:b/>
          <w:color w:val="auto"/>
          <w:sz w:val="32"/>
          <w:szCs w:val="32"/>
        </w:rPr>
        <w:t>（三）一般公共预算财政拨款支出决算具体情况</w:t>
      </w:r>
      <w:bookmarkEnd w:id="72"/>
    </w:p>
    <w:p>
      <w:pPr>
        <w:spacing w:line="600" w:lineRule="exact"/>
        <w:ind w:firstLine="643" w:firstLineChars="200"/>
        <w:outlineLvl w:val="2"/>
        <w:rPr>
          <w:rFonts w:ascii="仿宋" w:hAnsi="仿宋" w:eastAsia="仿宋"/>
          <w:color w:val="auto"/>
          <w:sz w:val="32"/>
          <w:szCs w:val="32"/>
        </w:rPr>
      </w:pPr>
      <w:bookmarkStart w:id="73" w:name="_Toc15377444"/>
      <w:bookmarkStart w:id="74" w:name="_Toc15378460"/>
      <w:bookmarkStart w:id="75" w:name="_Toc15377213"/>
      <w:r>
        <w:rPr>
          <w:rFonts w:hint="eastAsia" w:ascii="仿宋" w:hAnsi="仿宋" w:eastAsia="仿宋"/>
          <w:b/>
          <w:color w:val="auto"/>
          <w:sz w:val="32"/>
          <w:szCs w:val="32"/>
        </w:rPr>
        <w:t>20</w:t>
      </w:r>
      <w:r>
        <w:rPr>
          <w:rFonts w:hint="eastAsia" w:ascii="仿宋" w:hAnsi="仿宋" w:eastAsia="仿宋"/>
          <w:b/>
          <w:color w:val="auto"/>
          <w:sz w:val="32"/>
          <w:szCs w:val="32"/>
          <w:lang w:val="en-US" w:eastAsia="zh-CN"/>
        </w:rPr>
        <w:t>20</w:t>
      </w:r>
      <w:r>
        <w:rPr>
          <w:rFonts w:hint="eastAsia" w:ascii="仿宋" w:hAnsi="仿宋" w:eastAsia="仿宋"/>
          <w:b/>
          <w:color w:val="auto"/>
          <w:sz w:val="32"/>
          <w:szCs w:val="32"/>
        </w:rPr>
        <w:t>年</w:t>
      </w:r>
      <w:r>
        <w:rPr>
          <w:rFonts w:hint="eastAsia" w:ascii="仿宋" w:hAnsi="仿宋" w:eastAsia="仿宋"/>
          <w:b/>
          <w:color w:val="auto"/>
          <w:sz w:val="32"/>
          <w:szCs w:val="32"/>
          <w:lang w:eastAsia="zh-CN"/>
        </w:rPr>
        <w:t>一</w:t>
      </w:r>
      <w:r>
        <w:rPr>
          <w:rFonts w:hint="eastAsia" w:ascii="仿宋" w:hAnsi="仿宋" w:eastAsia="仿宋"/>
          <w:b/>
          <w:color w:val="auto"/>
          <w:sz w:val="32"/>
          <w:szCs w:val="32"/>
        </w:rPr>
        <w:t>般公共预算支出决算数为</w:t>
      </w:r>
      <w:r>
        <w:rPr>
          <w:rFonts w:hint="eastAsia" w:ascii="仿宋" w:hAnsi="仿宋" w:eastAsia="仿宋"/>
          <w:b/>
          <w:color w:val="auto"/>
          <w:sz w:val="32"/>
          <w:szCs w:val="32"/>
          <w:lang w:val="en-US" w:eastAsia="zh-CN"/>
        </w:rPr>
        <w:t>10094.96万元</w:t>
      </w:r>
      <w:r>
        <w:rPr>
          <w:rFonts w:hint="eastAsia" w:ascii="仿宋" w:hAnsi="仿宋" w:eastAsia="仿宋"/>
          <w:color w:val="auto"/>
          <w:sz w:val="32"/>
          <w:szCs w:val="32"/>
        </w:rPr>
        <w:t>，</w:t>
      </w:r>
      <w:r>
        <w:rPr>
          <w:rStyle w:val="15"/>
          <w:rFonts w:hint="eastAsia" w:ascii="仿宋" w:hAnsi="仿宋" w:eastAsia="仿宋"/>
          <w:bCs/>
          <w:color w:val="auto"/>
          <w:sz w:val="32"/>
          <w:szCs w:val="32"/>
        </w:rPr>
        <w:t>完成预算</w:t>
      </w:r>
      <w:r>
        <w:rPr>
          <w:rStyle w:val="15"/>
          <w:rFonts w:hint="eastAsia" w:ascii="仿宋" w:hAnsi="仿宋" w:eastAsia="仿宋"/>
          <w:bCs/>
          <w:color w:val="auto"/>
          <w:sz w:val="32"/>
          <w:szCs w:val="32"/>
          <w:lang w:val="en-US" w:eastAsia="zh-CN"/>
        </w:rPr>
        <w:t>100</w:t>
      </w:r>
      <w:r>
        <w:rPr>
          <w:rStyle w:val="15"/>
          <w:rFonts w:ascii="仿宋" w:hAnsi="仿宋" w:eastAsia="仿宋"/>
          <w:bCs/>
          <w:color w:val="auto"/>
          <w:sz w:val="32"/>
          <w:szCs w:val="32"/>
        </w:rPr>
        <w:t>%</w:t>
      </w:r>
      <w:r>
        <w:rPr>
          <w:rStyle w:val="15"/>
          <w:rFonts w:hint="eastAsia" w:ascii="仿宋" w:hAnsi="仿宋" w:eastAsia="仿宋"/>
          <w:bCs/>
          <w:color w:val="auto"/>
          <w:sz w:val="32"/>
          <w:szCs w:val="32"/>
        </w:rPr>
        <w:t>。其中：</w:t>
      </w:r>
      <w:bookmarkEnd w:id="73"/>
      <w:bookmarkEnd w:id="74"/>
      <w:bookmarkEnd w:id="75"/>
    </w:p>
    <w:p>
      <w:pPr>
        <w:spacing w:line="600" w:lineRule="exact"/>
        <w:ind w:firstLine="643" w:firstLineChars="200"/>
        <w:rPr>
          <w:rFonts w:ascii="仿宋" w:hAnsi="仿宋" w:eastAsia="仿宋"/>
          <w:b/>
          <w:color w:val="auto"/>
          <w:sz w:val="32"/>
          <w:szCs w:val="32"/>
        </w:rPr>
      </w:pPr>
      <w:r>
        <w:rPr>
          <w:rStyle w:val="15"/>
          <w:rFonts w:hint="eastAsia" w:ascii="仿宋" w:hAnsi="仿宋" w:eastAsia="仿宋"/>
          <w:bCs/>
          <w:color w:val="auto"/>
          <w:sz w:val="32"/>
          <w:szCs w:val="32"/>
          <w:lang w:val="en-US" w:eastAsia="zh-CN"/>
        </w:rPr>
        <w:t>1</w:t>
      </w:r>
      <w:r>
        <w:rPr>
          <w:rStyle w:val="15"/>
          <w:rFonts w:ascii="仿宋" w:hAnsi="仿宋" w:eastAsia="仿宋"/>
          <w:bCs/>
          <w:color w:val="auto"/>
          <w:sz w:val="32"/>
          <w:szCs w:val="32"/>
        </w:rPr>
        <w:t>.</w:t>
      </w:r>
      <w:r>
        <w:rPr>
          <w:rStyle w:val="15"/>
          <w:rFonts w:hint="eastAsia" w:ascii="仿宋" w:hAnsi="仿宋" w:eastAsia="仿宋"/>
          <w:bCs/>
          <w:color w:val="auto"/>
          <w:sz w:val="32"/>
          <w:szCs w:val="32"/>
        </w:rPr>
        <w:t>科学技术</w:t>
      </w:r>
      <w:r>
        <w:rPr>
          <w:rStyle w:val="15"/>
          <w:rFonts w:hint="eastAsia" w:ascii="仿宋" w:hAnsi="仿宋" w:eastAsia="仿宋"/>
          <w:bCs/>
          <w:color w:val="auto"/>
          <w:sz w:val="32"/>
          <w:szCs w:val="32"/>
          <w:lang w:eastAsia="zh-CN"/>
        </w:rPr>
        <w:t>（类）科技重大项目</w:t>
      </w:r>
      <w:r>
        <w:rPr>
          <w:rStyle w:val="15"/>
          <w:rFonts w:hint="eastAsia" w:ascii="仿宋" w:hAnsi="仿宋" w:eastAsia="仿宋"/>
          <w:b/>
          <w:bCs/>
          <w:color w:val="auto"/>
          <w:sz w:val="32"/>
          <w:szCs w:val="32"/>
          <w:lang w:val="en-US" w:eastAsia="zh-CN"/>
        </w:rPr>
        <w:t>（款）重点研发计划（项）</w:t>
      </w:r>
      <w:r>
        <w:rPr>
          <w:rStyle w:val="15"/>
          <w:rFonts w:ascii="仿宋" w:hAnsi="仿宋" w:eastAsia="仿宋"/>
          <w:bCs/>
          <w:color w:val="auto"/>
          <w:sz w:val="32"/>
          <w:szCs w:val="32"/>
        </w:rPr>
        <w:t>:</w:t>
      </w:r>
      <w:r>
        <w:rPr>
          <w:rStyle w:val="15"/>
          <w:rFonts w:ascii="仿宋" w:hAnsi="仿宋" w:eastAsia="仿宋"/>
          <w:b w:val="0"/>
          <w:bCs/>
          <w:color w:val="auto"/>
          <w:sz w:val="32"/>
          <w:szCs w:val="32"/>
        </w:rPr>
        <w:t xml:space="preserve"> </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19</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spacing w:line="600" w:lineRule="exact"/>
        <w:ind w:firstLine="643" w:firstLineChars="200"/>
        <w:rPr>
          <w:rFonts w:hint="eastAsia" w:ascii="仿宋" w:hAnsi="仿宋" w:eastAsia="仿宋"/>
          <w:b/>
          <w:color w:val="auto"/>
          <w:sz w:val="32"/>
          <w:szCs w:val="32"/>
          <w:lang w:val="en-US" w:eastAsia="zh-CN"/>
        </w:rPr>
      </w:pPr>
      <w:r>
        <w:rPr>
          <w:rStyle w:val="15"/>
          <w:rFonts w:hint="eastAsia" w:ascii="仿宋" w:hAnsi="仿宋" w:eastAsia="仿宋"/>
          <w:bCs/>
          <w:color w:val="auto"/>
          <w:sz w:val="32"/>
          <w:szCs w:val="32"/>
          <w:lang w:val="en-US" w:eastAsia="zh-CN"/>
        </w:rPr>
        <w:t>2</w:t>
      </w:r>
      <w:r>
        <w:rPr>
          <w:rStyle w:val="15"/>
          <w:rFonts w:ascii="仿宋" w:hAnsi="仿宋" w:eastAsia="仿宋"/>
          <w:bCs/>
          <w:color w:val="auto"/>
          <w:sz w:val="32"/>
          <w:szCs w:val="32"/>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color w:val="auto"/>
          <w:sz w:val="30"/>
          <w:szCs w:val="30"/>
          <w:lang w:val="en-US" w:eastAsia="zh-CN"/>
        </w:rPr>
        <w:t>事业单位离退休（项）：</w:t>
      </w:r>
      <w:r>
        <w:rPr>
          <w:rStyle w:val="15"/>
          <w:rFonts w:hint="eastAsia" w:ascii="仿宋" w:hAnsi="仿宋" w:eastAsia="仿宋"/>
          <w:b w:val="0"/>
          <w:bCs w:val="0"/>
          <w:color w:val="auto"/>
          <w:sz w:val="32"/>
          <w:szCs w:val="32"/>
          <w:lang w:val="en-US" w:eastAsia="zh-CN"/>
        </w:rPr>
        <w:t>支出决算为307.24万元</w:t>
      </w:r>
      <w:r>
        <w:rPr>
          <w:rStyle w:val="15"/>
          <w:rFonts w:hint="eastAsia" w:ascii="仿宋" w:hAnsi="仿宋" w:eastAsia="仿宋"/>
          <w:b w:val="0"/>
          <w:bCs/>
          <w:color w:val="auto"/>
          <w:sz w:val="32"/>
          <w:szCs w:val="32"/>
          <w:lang w:val="en-US" w:eastAsia="zh-CN"/>
        </w:rPr>
        <w:t>，</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val="0"/>
          <w:color w:val="auto"/>
          <w:sz w:val="32"/>
          <w:szCs w:val="32"/>
          <w:lang w:val="en-US" w:eastAsia="zh-CN"/>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color w:val="auto"/>
          <w:sz w:val="32"/>
          <w:szCs w:val="32"/>
          <w:lang w:val="en-US" w:eastAsia="zh-CN"/>
        </w:rPr>
        <w:t>机关</w:t>
      </w:r>
      <w:r>
        <w:rPr>
          <w:rStyle w:val="15"/>
          <w:rFonts w:hint="eastAsia" w:ascii="仿宋" w:hAnsi="仿宋" w:eastAsia="仿宋"/>
          <w:b/>
          <w:bCs/>
          <w:color w:val="auto"/>
          <w:sz w:val="32"/>
          <w:szCs w:val="32"/>
          <w:lang w:eastAsia="zh-CN"/>
        </w:rPr>
        <w:t>事业单位基本养老保险缴费（项）：</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708.02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行政事业单位养老支出</w:t>
      </w:r>
      <w:r>
        <w:rPr>
          <w:rStyle w:val="15"/>
          <w:rFonts w:hint="eastAsia" w:ascii="仿宋" w:hAnsi="仿宋" w:eastAsia="仿宋"/>
          <w:bCs/>
          <w:color w:val="auto"/>
          <w:sz w:val="32"/>
          <w:szCs w:val="32"/>
          <w:lang w:val="en-US" w:eastAsia="zh-CN"/>
        </w:rPr>
        <w:t>（款）</w:t>
      </w:r>
      <w:r>
        <w:rPr>
          <w:rStyle w:val="15"/>
          <w:rFonts w:hint="eastAsia" w:ascii="仿宋" w:hAnsi="仿宋" w:eastAsia="仿宋"/>
          <w:b/>
          <w:bCs w:val="0"/>
          <w:color w:val="auto"/>
          <w:sz w:val="32"/>
          <w:szCs w:val="32"/>
          <w:lang w:eastAsia="zh-CN"/>
        </w:rPr>
        <w:t>机关事业单位职业年金缴费（项）</w:t>
      </w:r>
      <w:r>
        <w:rPr>
          <w:rStyle w:val="15"/>
          <w:rFonts w:hint="eastAsia" w:ascii="仿宋" w:hAnsi="仿宋" w:eastAsia="仿宋"/>
          <w:b w:val="0"/>
          <w:bCs/>
          <w:color w:val="auto"/>
          <w:sz w:val="32"/>
          <w:szCs w:val="32"/>
          <w:lang w:eastAsia="zh-CN"/>
        </w:rPr>
        <w:t>支出决算为</w:t>
      </w:r>
      <w:r>
        <w:rPr>
          <w:rStyle w:val="15"/>
          <w:rFonts w:hint="eastAsia" w:ascii="仿宋" w:hAnsi="仿宋" w:eastAsia="仿宋"/>
          <w:b w:val="0"/>
          <w:bCs/>
          <w:color w:val="auto"/>
          <w:sz w:val="32"/>
          <w:szCs w:val="32"/>
          <w:lang w:val="en-US" w:eastAsia="zh-CN"/>
        </w:rPr>
        <w:t>360.45万元，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r>
        <w:rPr>
          <w:rStyle w:val="15"/>
          <w:rFonts w:hint="eastAsia" w:ascii="仿宋" w:hAnsi="仿宋" w:eastAsia="仿宋"/>
          <w:bCs/>
          <w:color w:val="auto"/>
          <w:sz w:val="32"/>
          <w:szCs w:val="32"/>
        </w:rPr>
        <w:t>社会保障和就业</w:t>
      </w:r>
      <w:r>
        <w:rPr>
          <w:rStyle w:val="15"/>
          <w:rFonts w:hint="eastAsia" w:ascii="仿宋" w:hAnsi="仿宋" w:eastAsia="仿宋"/>
          <w:bCs/>
          <w:color w:val="auto"/>
          <w:sz w:val="32"/>
          <w:szCs w:val="32"/>
          <w:lang w:eastAsia="zh-CN"/>
        </w:rPr>
        <w:t>（</w:t>
      </w:r>
      <w:r>
        <w:rPr>
          <w:rStyle w:val="15"/>
          <w:rFonts w:hint="eastAsia" w:ascii="仿宋" w:hAnsi="仿宋" w:eastAsia="仿宋"/>
          <w:bCs/>
          <w:color w:val="auto"/>
          <w:sz w:val="32"/>
          <w:szCs w:val="32"/>
          <w:lang w:val="en-US" w:eastAsia="zh-CN"/>
        </w:rPr>
        <w:t>类）</w:t>
      </w:r>
      <w:r>
        <w:rPr>
          <w:rStyle w:val="15"/>
          <w:rFonts w:hint="eastAsia" w:ascii="仿宋" w:hAnsi="仿宋" w:eastAsia="仿宋"/>
          <w:b/>
          <w:bCs w:val="0"/>
          <w:color w:val="auto"/>
          <w:sz w:val="32"/>
          <w:szCs w:val="32"/>
          <w:lang w:eastAsia="zh-CN"/>
        </w:rPr>
        <w:t>其他社会保障和就业支出</w:t>
      </w:r>
      <w:r>
        <w:rPr>
          <w:rStyle w:val="15"/>
          <w:rFonts w:hint="eastAsia" w:ascii="仿宋" w:hAnsi="仿宋" w:eastAsia="仿宋"/>
          <w:b/>
          <w:bCs w:val="0"/>
          <w:color w:val="auto"/>
          <w:sz w:val="32"/>
          <w:szCs w:val="32"/>
          <w:lang w:val="en-US" w:eastAsia="zh-CN"/>
        </w:rPr>
        <w:t>（款）</w:t>
      </w:r>
      <w:r>
        <w:rPr>
          <w:rStyle w:val="15"/>
          <w:rFonts w:hint="eastAsia" w:ascii="仿宋" w:hAnsi="仿宋" w:eastAsia="仿宋"/>
          <w:b/>
          <w:bCs w:val="0"/>
          <w:color w:val="auto"/>
          <w:sz w:val="32"/>
          <w:szCs w:val="32"/>
          <w:lang w:eastAsia="zh-CN"/>
        </w:rPr>
        <w:t>其他社会保障和就业（项）：</w:t>
      </w:r>
      <w:r>
        <w:rPr>
          <w:rStyle w:val="15"/>
          <w:rFonts w:hint="eastAsia" w:ascii="仿宋" w:hAnsi="仿宋" w:eastAsia="仿宋"/>
          <w:b w:val="0"/>
          <w:bCs/>
          <w:color w:val="auto"/>
          <w:sz w:val="32"/>
          <w:szCs w:val="32"/>
          <w:lang w:eastAsia="zh-CN"/>
        </w:rPr>
        <w:t>支出</w:t>
      </w:r>
      <w:r>
        <w:rPr>
          <w:rStyle w:val="15"/>
          <w:rFonts w:hint="eastAsia" w:ascii="仿宋" w:hAnsi="仿宋" w:eastAsia="仿宋"/>
          <w:b w:val="0"/>
          <w:bCs/>
          <w:color w:val="auto"/>
          <w:sz w:val="32"/>
          <w:szCs w:val="32"/>
          <w:lang w:val="en-US" w:eastAsia="zh-CN"/>
        </w:rPr>
        <w:t>决算22.95万元，</w:t>
      </w:r>
      <w:r>
        <w:rPr>
          <w:rStyle w:val="15"/>
          <w:rFonts w:hint="eastAsia" w:ascii="仿宋" w:hAnsi="仿宋" w:eastAsia="仿宋"/>
          <w:b w:val="0"/>
          <w:bCs/>
          <w:color w:val="auto"/>
          <w:sz w:val="32"/>
          <w:szCs w:val="32"/>
        </w:rPr>
        <w:t>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w:t>
      </w:r>
    </w:p>
    <w:p>
      <w:pPr>
        <w:spacing w:line="600" w:lineRule="exact"/>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3</w:t>
      </w:r>
      <w:r>
        <w:rPr>
          <w:rStyle w:val="15"/>
          <w:rFonts w:ascii="仿宋" w:hAnsi="仿宋" w:eastAsia="仿宋"/>
          <w:bCs/>
          <w:color w:val="auto"/>
          <w:sz w:val="32"/>
          <w:szCs w:val="32"/>
        </w:rPr>
        <w:t>.</w:t>
      </w:r>
      <w:r>
        <w:rPr>
          <w:rFonts w:hint="eastAsia" w:ascii="仿宋" w:hAnsi="仿宋" w:eastAsia="仿宋"/>
          <w:b/>
          <w:bCs/>
          <w:color w:val="auto"/>
          <w:sz w:val="32"/>
          <w:szCs w:val="32"/>
        </w:rPr>
        <w:t>卫生健康</w:t>
      </w:r>
      <w:r>
        <w:rPr>
          <w:rStyle w:val="15"/>
          <w:rFonts w:hint="eastAsia" w:ascii="仿宋" w:hAnsi="仿宋" w:eastAsia="仿宋"/>
          <w:bCs/>
          <w:color w:val="auto"/>
          <w:sz w:val="32"/>
          <w:szCs w:val="32"/>
          <w:lang w:eastAsia="zh-CN"/>
        </w:rPr>
        <w:t>类</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行政事业单位医疗</w:t>
      </w:r>
      <w:r>
        <w:rPr>
          <w:rStyle w:val="15"/>
          <w:rFonts w:hint="eastAsia" w:ascii="仿宋" w:hAnsi="仿宋" w:eastAsia="仿宋"/>
          <w:bCs/>
          <w:color w:val="auto"/>
          <w:sz w:val="32"/>
          <w:szCs w:val="32"/>
          <w:lang w:val="en-US" w:eastAsia="zh-CN"/>
        </w:rPr>
        <w:t>（款）事业单位医疗（项）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414.47</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pStyle w:val="2"/>
        <w:ind w:firstLine="643" w:firstLineChars="200"/>
        <w:rPr>
          <w:rStyle w:val="15"/>
          <w:rFonts w:hint="eastAsia" w:ascii="仿宋" w:hAnsi="仿宋" w:eastAsia="仿宋"/>
          <w:b w:val="0"/>
          <w:bCs/>
          <w:color w:val="auto"/>
          <w:sz w:val="32"/>
          <w:szCs w:val="32"/>
        </w:rPr>
      </w:pPr>
      <w:r>
        <w:rPr>
          <w:rStyle w:val="15"/>
          <w:rFonts w:hint="eastAsia" w:ascii="仿宋" w:hAnsi="仿宋" w:eastAsia="仿宋"/>
          <w:bCs/>
          <w:color w:val="auto"/>
          <w:sz w:val="32"/>
          <w:szCs w:val="32"/>
          <w:lang w:val="en-US" w:eastAsia="zh-CN"/>
        </w:rPr>
        <w:t>4</w:t>
      </w:r>
      <w:r>
        <w:rPr>
          <w:rStyle w:val="15"/>
          <w:rFonts w:ascii="仿宋" w:hAnsi="仿宋" w:eastAsia="仿宋"/>
          <w:bCs/>
          <w:color w:val="auto"/>
          <w:sz w:val="32"/>
          <w:szCs w:val="32"/>
        </w:rPr>
        <w:t>.</w:t>
      </w:r>
      <w:r>
        <w:rPr>
          <w:rFonts w:hint="eastAsia" w:ascii="仿宋" w:hAnsi="仿宋" w:eastAsia="仿宋"/>
          <w:b/>
          <w:bCs/>
          <w:color w:val="auto"/>
          <w:sz w:val="32"/>
          <w:szCs w:val="32"/>
          <w:lang w:eastAsia="zh-CN"/>
        </w:rPr>
        <w:t>节能环保支出类</w:t>
      </w:r>
      <w:r>
        <w:rPr>
          <w:rStyle w:val="15"/>
          <w:rFonts w:hint="eastAsia" w:ascii="仿宋" w:hAnsi="仿宋" w:eastAsia="仿宋"/>
          <w:bCs/>
          <w:color w:val="auto"/>
          <w:sz w:val="32"/>
          <w:szCs w:val="32"/>
          <w:lang w:val="en-US" w:eastAsia="zh-CN"/>
        </w:rPr>
        <w:t>（类）</w:t>
      </w:r>
      <w:r>
        <w:rPr>
          <w:rStyle w:val="15"/>
          <w:rFonts w:hint="eastAsia" w:ascii="仿宋" w:hAnsi="仿宋" w:eastAsia="仿宋"/>
          <w:bCs/>
          <w:color w:val="auto"/>
          <w:sz w:val="32"/>
          <w:szCs w:val="32"/>
          <w:lang w:eastAsia="zh-CN"/>
        </w:rPr>
        <w:t>污染防治</w:t>
      </w:r>
      <w:r>
        <w:rPr>
          <w:rStyle w:val="15"/>
          <w:rFonts w:hint="eastAsia" w:ascii="仿宋" w:hAnsi="仿宋" w:eastAsia="仿宋"/>
          <w:bCs/>
          <w:color w:val="auto"/>
          <w:sz w:val="32"/>
          <w:szCs w:val="32"/>
          <w:lang w:val="en-US" w:eastAsia="zh-CN"/>
        </w:rPr>
        <w:t>（款）其他污染防治（项）</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4144.72</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rPr>
        <w:t>。</w:t>
      </w:r>
    </w:p>
    <w:p>
      <w:pPr>
        <w:pStyle w:val="2"/>
        <w:ind w:firstLine="643" w:firstLineChars="200"/>
        <w:rPr>
          <w:rStyle w:val="15"/>
          <w:rFonts w:hint="eastAsia" w:ascii="仿宋" w:hAnsi="仿宋" w:eastAsia="仿宋" w:cstheme="minorBidi"/>
          <w:b w:val="0"/>
          <w:bCs w:val="0"/>
          <w:color w:val="auto"/>
          <w:sz w:val="32"/>
          <w:szCs w:val="32"/>
          <w:lang w:val="en-US" w:eastAsia="zh-CN"/>
        </w:rPr>
      </w:pPr>
      <w:r>
        <w:rPr>
          <w:rStyle w:val="15"/>
          <w:rFonts w:hint="eastAsia" w:ascii="仿宋" w:hAnsi="仿宋" w:eastAsia="仿宋" w:cstheme="minorBidi"/>
          <w:bCs/>
          <w:color w:val="auto"/>
          <w:sz w:val="32"/>
          <w:szCs w:val="32"/>
          <w:lang w:val="en-US" w:eastAsia="zh-CN"/>
        </w:rPr>
        <w:t>5、资源勘探工业信息等-资源勘探开发-其他资源勘探业：</w:t>
      </w:r>
      <w:r>
        <w:rPr>
          <w:rStyle w:val="15"/>
          <w:rFonts w:hint="eastAsia" w:ascii="仿宋" w:hAnsi="仿宋" w:eastAsia="仿宋" w:cstheme="minorBidi"/>
          <w:b w:val="0"/>
          <w:bCs w:val="0"/>
          <w:color w:val="auto"/>
          <w:sz w:val="32"/>
          <w:szCs w:val="32"/>
          <w:lang w:val="en-US" w:eastAsia="zh-CN"/>
        </w:rPr>
        <w:t>支出决算为3097.41万元，完成预算100%。</w:t>
      </w:r>
    </w:p>
    <w:p>
      <w:pPr>
        <w:pStyle w:val="2"/>
        <w:ind w:firstLine="643" w:firstLineChars="200"/>
        <w:rPr>
          <w:rFonts w:ascii="仿宋" w:hAnsi="仿宋" w:eastAsia="仿宋"/>
          <w:color w:val="auto"/>
          <w:sz w:val="32"/>
          <w:szCs w:val="32"/>
        </w:rPr>
      </w:pPr>
      <w:r>
        <w:rPr>
          <w:rStyle w:val="15"/>
          <w:rFonts w:hint="eastAsia" w:ascii="仿宋" w:hAnsi="仿宋" w:eastAsia="仿宋" w:cstheme="minorBidi"/>
          <w:bCs/>
          <w:color w:val="auto"/>
          <w:sz w:val="32"/>
          <w:szCs w:val="32"/>
          <w:lang w:val="en-US" w:eastAsia="zh-CN"/>
        </w:rPr>
        <w:t>6、住房保障类（类）住房改革支出（款）住房公积金（项）：</w:t>
      </w:r>
      <w:r>
        <w:rPr>
          <w:rStyle w:val="15"/>
          <w:rFonts w:hint="eastAsia" w:ascii="仿宋" w:hAnsi="仿宋" w:eastAsia="仿宋" w:cstheme="minorBidi"/>
          <w:b w:val="0"/>
          <w:bCs w:val="0"/>
          <w:color w:val="auto"/>
          <w:sz w:val="32"/>
          <w:szCs w:val="32"/>
          <w:lang w:val="en-US" w:eastAsia="zh-CN"/>
        </w:rPr>
        <w:t>支出决算为491.48万元，完成预算100%；</w:t>
      </w:r>
      <w:r>
        <w:rPr>
          <w:rStyle w:val="15"/>
          <w:rFonts w:hint="eastAsia" w:ascii="仿宋" w:hAnsi="仿宋" w:eastAsia="仿宋" w:cstheme="minorBidi"/>
          <w:bCs/>
          <w:color w:val="auto"/>
          <w:sz w:val="32"/>
          <w:szCs w:val="32"/>
          <w:lang w:val="en-US" w:eastAsia="zh-CN"/>
        </w:rPr>
        <w:t>住房保障类（类）住房改革支出（款）</w:t>
      </w:r>
      <w:r>
        <w:rPr>
          <w:rStyle w:val="15"/>
          <w:rFonts w:hint="eastAsia" w:ascii="仿宋" w:hAnsi="仿宋" w:eastAsia="仿宋" w:cstheme="minorBidi"/>
          <w:b/>
          <w:bCs/>
          <w:color w:val="auto"/>
          <w:sz w:val="32"/>
          <w:szCs w:val="32"/>
          <w:lang w:val="en-US" w:eastAsia="zh-CN"/>
        </w:rPr>
        <w:t>购房补贴（项）：</w:t>
      </w:r>
      <w:r>
        <w:rPr>
          <w:rStyle w:val="15"/>
          <w:rFonts w:hint="eastAsia" w:ascii="仿宋" w:hAnsi="仿宋" w:eastAsia="仿宋" w:cstheme="minorBidi"/>
          <w:b w:val="0"/>
          <w:bCs w:val="0"/>
          <w:color w:val="auto"/>
          <w:sz w:val="32"/>
          <w:szCs w:val="32"/>
          <w:lang w:val="en-US" w:eastAsia="zh-CN"/>
        </w:rPr>
        <w:t>支出决算为529.22万元，完成预算100%。</w:t>
      </w:r>
    </w:p>
    <w:p>
      <w:pPr>
        <w:tabs>
          <w:tab w:val="right" w:pos="8306"/>
        </w:tabs>
        <w:spacing w:line="600" w:lineRule="exact"/>
        <w:ind w:firstLine="640" w:firstLineChars="200"/>
        <w:outlineLvl w:val="1"/>
        <w:rPr>
          <w:rStyle w:val="26"/>
          <w:color w:val="auto"/>
        </w:rPr>
      </w:pPr>
      <w:bookmarkStart w:id="76" w:name="_Toc15396608"/>
      <w:bookmarkStart w:id="77" w:name="_Toc15377214"/>
      <w:bookmarkStart w:id="78" w:name="_Toc18762"/>
      <w:bookmarkStart w:id="79" w:name="_Toc1260"/>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26"/>
          <w:rFonts w:hint="eastAsia" w:ascii="黑体" w:hAnsi="黑体" w:eastAsia="黑体"/>
          <w:b w:val="0"/>
          <w:color w:val="auto"/>
        </w:rPr>
        <w:t>般公共预算财政拨款基本支出决算情况说明</w:t>
      </w:r>
      <w:bookmarkEnd w:id="76"/>
      <w:bookmarkEnd w:id="77"/>
      <w:bookmarkEnd w:id="78"/>
      <w:bookmarkEnd w:id="79"/>
      <w:r>
        <w:rPr>
          <w:rStyle w:val="26"/>
          <w:rFonts w:ascii="黑体" w:hAnsi="黑体" w:eastAsia="黑体"/>
          <w:b w:val="0"/>
          <w:color w:val="auto"/>
        </w:rPr>
        <w:tab/>
      </w:r>
    </w:p>
    <w:p>
      <w:pPr>
        <w:spacing w:line="600" w:lineRule="exact"/>
        <w:ind w:firstLine="645"/>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年一般公共预算财政拨款基本支出</w:t>
      </w:r>
      <w:r>
        <w:rPr>
          <w:rFonts w:hint="eastAsia" w:ascii="仿宋" w:hAnsi="仿宋" w:eastAsia="仿宋"/>
          <w:color w:val="auto"/>
          <w:sz w:val="32"/>
          <w:szCs w:val="32"/>
          <w:lang w:val="en-US" w:eastAsia="zh-CN"/>
        </w:rPr>
        <w:t>5931.24</w:t>
      </w:r>
      <w:r>
        <w:rPr>
          <w:rFonts w:hint="eastAsia" w:ascii="仿宋" w:hAnsi="仿宋" w:eastAsia="仿宋"/>
          <w:color w:val="auto"/>
          <w:sz w:val="32"/>
          <w:szCs w:val="32"/>
        </w:rPr>
        <w:t>万元，其中：</w:t>
      </w:r>
    </w:p>
    <w:p>
      <w:pPr>
        <w:spacing w:line="600" w:lineRule="exact"/>
        <w:ind w:firstLine="645"/>
        <w:rPr>
          <w:rFonts w:ascii="仿宋" w:hAnsi="仿宋" w:eastAsia="仿宋"/>
          <w:b/>
          <w:color w:val="auto"/>
          <w:sz w:val="32"/>
          <w:szCs w:val="32"/>
        </w:rPr>
      </w:pPr>
      <w:r>
        <w:rPr>
          <w:rFonts w:hint="eastAsia" w:ascii="仿宋" w:hAnsi="仿宋" w:eastAsia="仿宋"/>
          <w:color w:val="auto"/>
          <w:sz w:val="32"/>
          <w:szCs w:val="32"/>
        </w:rPr>
        <w:t>人员经费</w:t>
      </w:r>
      <w:r>
        <w:rPr>
          <w:rFonts w:hint="eastAsia" w:ascii="仿宋" w:hAnsi="仿宋" w:eastAsia="仿宋"/>
          <w:color w:val="auto"/>
          <w:sz w:val="32"/>
          <w:szCs w:val="32"/>
          <w:lang w:val="en-US" w:eastAsia="zh-CN"/>
        </w:rPr>
        <w:t>5787.43</w:t>
      </w:r>
      <w:r>
        <w:rPr>
          <w:rFonts w:hint="eastAsia" w:ascii="仿宋" w:hAnsi="仿宋" w:eastAsia="仿宋"/>
          <w:color w:val="auto"/>
          <w:sz w:val="32"/>
          <w:szCs w:val="32"/>
        </w:rPr>
        <w:t>万元，主要包括：基本工资、津贴补贴、奖金、机关事业单位基本养老保险缴费、职业年金缴费、</w:t>
      </w:r>
      <w:r>
        <w:rPr>
          <w:rFonts w:hint="eastAsia" w:ascii="仿宋" w:hAnsi="仿宋" w:eastAsia="仿宋"/>
          <w:color w:val="auto"/>
          <w:sz w:val="32"/>
          <w:szCs w:val="32"/>
          <w:lang w:eastAsia="zh-CN"/>
        </w:rPr>
        <w:t>职工基本医疗保险缴费、</w:t>
      </w:r>
      <w:r>
        <w:rPr>
          <w:rFonts w:hint="eastAsia" w:ascii="仿宋" w:hAnsi="仿宋" w:eastAsia="仿宋"/>
          <w:color w:val="auto"/>
          <w:sz w:val="32"/>
          <w:szCs w:val="32"/>
        </w:rPr>
        <w:t>其他社会保障缴费、离休费、住房公积金、其他对个人和家庭的补助支出等。</w:t>
      </w:r>
      <w:r>
        <w:rPr>
          <w:rFonts w:ascii="仿宋" w:hAnsi="仿宋" w:eastAsia="仿宋"/>
          <w:color w:val="auto"/>
          <w:sz w:val="32"/>
          <w:szCs w:val="32"/>
        </w:rPr>
        <w:br w:type="textWrapping"/>
      </w:r>
      <w:r>
        <w:rPr>
          <w:rFonts w:hint="eastAsia" w:ascii="仿宋" w:hAnsi="仿宋" w:eastAsia="仿宋"/>
          <w:color w:val="auto"/>
          <w:sz w:val="32"/>
          <w:szCs w:val="32"/>
        </w:rPr>
        <w:t>　　公用经费</w:t>
      </w:r>
      <w:r>
        <w:rPr>
          <w:rFonts w:hint="eastAsia" w:ascii="仿宋" w:hAnsi="仿宋" w:eastAsia="仿宋"/>
          <w:color w:val="auto"/>
          <w:sz w:val="32"/>
          <w:szCs w:val="32"/>
          <w:lang w:val="en-US" w:eastAsia="zh-CN"/>
        </w:rPr>
        <w:t>143.81</w:t>
      </w:r>
      <w:r>
        <w:rPr>
          <w:rFonts w:hint="eastAsia" w:ascii="仿宋" w:hAnsi="仿宋" w:eastAsia="仿宋"/>
          <w:color w:val="auto"/>
          <w:sz w:val="32"/>
          <w:szCs w:val="32"/>
        </w:rPr>
        <w:t>万元，主要包括：</w:t>
      </w:r>
      <w:r>
        <w:rPr>
          <w:rFonts w:hint="eastAsia" w:ascii="仿宋" w:hAnsi="仿宋" w:eastAsia="仿宋"/>
          <w:color w:val="auto"/>
          <w:sz w:val="32"/>
          <w:szCs w:val="32"/>
          <w:highlight w:val="none"/>
        </w:rPr>
        <w:t>差旅费、工会经费、福利费、其他商品和服务支出。</w:t>
      </w:r>
    </w:p>
    <w:p>
      <w:pPr>
        <w:spacing w:line="600" w:lineRule="exact"/>
        <w:ind w:firstLine="640"/>
        <w:outlineLvl w:val="1"/>
        <w:rPr>
          <w:rStyle w:val="26"/>
          <w:rFonts w:ascii="黑体" w:hAnsi="黑体" w:eastAsia="黑体"/>
          <w:b w:val="0"/>
          <w:color w:val="auto"/>
        </w:rPr>
      </w:pPr>
      <w:bookmarkStart w:id="80" w:name="_Toc15396609"/>
      <w:bookmarkStart w:id="81" w:name="_Toc15377215"/>
      <w:bookmarkStart w:id="82" w:name="_Toc27511"/>
      <w:bookmarkStart w:id="83" w:name="_Toc15423"/>
      <w:r>
        <w:rPr>
          <w:rFonts w:hint="eastAsia" w:ascii="黑体" w:eastAsia="黑体"/>
          <w:color w:val="auto"/>
          <w:sz w:val="32"/>
          <w:szCs w:val="32"/>
        </w:rPr>
        <w:t>七、</w:t>
      </w:r>
      <w:r>
        <w:rPr>
          <w:rStyle w:val="26"/>
          <w:rFonts w:hint="eastAsia" w:ascii="黑体" w:hAnsi="黑体" w:eastAsia="黑体"/>
          <w:color w:val="auto"/>
        </w:rPr>
        <w:t>“</w:t>
      </w:r>
      <w:r>
        <w:rPr>
          <w:rStyle w:val="26"/>
          <w:rFonts w:hint="eastAsia" w:ascii="黑体" w:hAnsi="黑体" w:eastAsia="黑体"/>
          <w:b w:val="0"/>
          <w:color w:val="auto"/>
        </w:rPr>
        <w:t>三公”经费财政拨款支出决算情况说明</w:t>
      </w:r>
      <w:bookmarkEnd w:id="80"/>
      <w:bookmarkEnd w:id="81"/>
      <w:bookmarkEnd w:id="82"/>
      <w:bookmarkEnd w:id="83"/>
    </w:p>
    <w:p>
      <w:pPr>
        <w:spacing w:line="600" w:lineRule="exact"/>
        <w:ind w:firstLine="640"/>
        <w:outlineLvl w:val="1"/>
        <w:rPr>
          <w:rFonts w:ascii="黑体" w:eastAsia="黑体"/>
          <w:color w:val="auto"/>
          <w:sz w:val="32"/>
          <w:szCs w:val="32"/>
        </w:rPr>
      </w:pPr>
      <w:bookmarkStart w:id="84" w:name="_Toc2050"/>
      <w:bookmarkStart w:id="85" w:name="_Toc20414"/>
      <w:bookmarkStart w:id="86" w:name="_Toc15377218"/>
      <w:bookmarkStart w:id="87" w:name="_Toc15396610"/>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eastAsia="zh-CN"/>
        </w:rPr>
        <w:t>不涉及</w:t>
      </w:r>
      <w:r>
        <w:rPr>
          <w:rFonts w:hint="eastAsia" w:ascii="仿宋_GB2312" w:hAnsi="仿宋_GB2312" w:eastAsia="仿宋_GB2312" w:cs="仿宋_GB2312"/>
          <w:sz w:val="32"/>
          <w:szCs w:val="32"/>
        </w:rPr>
        <w:t>。</w:t>
      </w:r>
      <w:bookmarkEnd w:id="84"/>
      <w:bookmarkEnd w:id="85"/>
    </w:p>
    <w:p>
      <w:pPr>
        <w:spacing w:line="600" w:lineRule="exact"/>
        <w:ind w:firstLine="640"/>
        <w:outlineLvl w:val="1"/>
        <w:rPr>
          <w:rStyle w:val="26"/>
          <w:rFonts w:ascii="黑体" w:hAnsi="黑体" w:eastAsia="黑体"/>
          <w:color w:val="auto"/>
        </w:rPr>
      </w:pPr>
      <w:bookmarkStart w:id="88" w:name="_Toc3549"/>
      <w:bookmarkStart w:id="89" w:name="_Toc14606"/>
      <w:r>
        <w:rPr>
          <w:rFonts w:hint="eastAsia" w:ascii="黑体" w:eastAsia="黑体"/>
          <w:color w:val="auto"/>
          <w:sz w:val="32"/>
          <w:szCs w:val="32"/>
        </w:rPr>
        <w:t>八、</w:t>
      </w:r>
      <w:r>
        <w:rPr>
          <w:rStyle w:val="26"/>
          <w:rFonts w:hint="eastAsia" w:ascii="黑体" w:hAnsi="黑体" w:eastAsia="黑体"/>
          <w:b w:val="0"/>
          <w:color w:val="auto"/>
        </w:rPr>
        <w:t>政府性基金预算支出决算情况说明</w:t>
      </w:r>
      <w:bookmarkEnd w:id="86"/>
      <w:bookmarkEnd w:id="87"/>
      <w:bookmarkEnd w:id="88"/>
      <w:bookmarkEnd w:id="89"/>
    </w:p>
    <w:p>
      <w:pPr>
        <w:spacing w:line="600" w:lineRule="exact"/>
        <w:ind w:firstLine="640"/>
        <w:rPr>
          <w:rFonts w:ascii="仿宋_GB2312" w:eastAsia="仿宋_GB2312"/>
          <w:color w:val="auto"/>
          <w:sz w:val="32"/>
          <w:szCs w:val="32"/>
        </w:rPr>
      </w:pPr>
      <w:r>
        <w:rPr>
          <w:rFonts w:hint="eastAsia" w:ascii="仿宋_GB2312" w:eastAsia="仿宋_GB2312"/>
          <w:color w:val="auto"/>
          <w:sz w:val="32"/>
          <w:szCs w:val="32"/>
          <w:lang w:val="en-US" w:eastAsia="zh-CN"/>
        </w:rPr>
        <w:t>2020年，政府性基金预算财政拨款支出为零</w:t>
      </w:r>
      <w:r>
        <w:rPr>
          <w:rFonts w:hint="eastAsia" w:ascii="仿宋_GB2312" w:eastAsia="仿宋_GB2312"/>
          <w:color w:val="auto"/>
          <w:sz w:val="32"/>
          <w:szCs w:val="32"/>
        </w:rPr>
        <w:t>。</w:t>
      </w:r>
    </w:p>
    <w:p>
      <w:pPr>
        <w:numPr>
          <w:ilvl w:val="0"/>
          <w:numId w:val="4"/>
        </w:numPr>
        <w:spacing w:line="600" w:lineRule="exact"/>
        <w:ind w:firstLine="640"/>
        <w:outlineLvl w:val="1"/>
        <w:rPr>
          <w:rStyle w:val="26"/>
          <w:rFonts w:ascii="黑体" w:hAnsi="黑体" w:eastAsia="黑体"/>
          <w:b w:val="0"/>
          <w:color w:val="auto"/>
        </w:rPr>
      </w:pPr>
      <w:bookmarkStart w:id="90" w:name="_Toc15377219"/>
      <w:bookmarkStart w:id="91" w:name="_Toc15396611"/>
      <w:bookmarkStart w:id="92" w:name="_Toc31688"/>
      <w:bookmarkStart w:id="93" w:name="_Toc24870"/>
      <w:r>
        <w:rPr>
          <w:rStyle w:val="26"/>
          <w:rFonts w:hint="eastAsia" w:ascii="黑体" w:hAnsi="黑体" w:eastAsia="黑体"/>
          <w:b w:val="0"/>
          <w:color w:val="auto"/>
        </w:rPr>
        <w:t>国有资本经营预算支出决算情况说明</w:t>
      </w:r>
      <w:bookmarkEnd w:id="90"/>
      <w:bookmarkEnd w:id="91"/>
      <w:bookmarkEnd w:id="92"/>
      <w:bookmarkEnd w:id="93"/>
    </w:p>
    <w:p>
      <w:pPr>
        <w:spacing w:line="600" w:lineRule="exact"/>
        <w:ind w:firstLine="640"/>
        <w:rPr>
          <w:rFonts w:ascii="方正小标宋简体" w:hAnsi="方正小标宋简体" w:eastAsia="方正小标宋简体" w:cs="方正小标宋简体"/>
          <w:color w:val="auto"/>
          <w:sz w:val="44"/>
          <w:szCs w:val="44"/>
        </w:rPr>
      </w:pPr>
      <w:r>
        <w:rPr>
          <w:rFonts w:hint="eastAsia" w:ascii="仿宋_GB2312" w:eastAsia="仿宋_GB2312"/>
          <w:color w:val="auto"/>
          <w:sz w:val="32"/>
          <w:szCs w:val="32"/>
          <w:lang w:val="en-US" w:eastAsia="zh-CN"/>
        </w:rPr>
        <w:t>2020年，国有资本经营预算财政拨款支出为零</w:t>
      </w:r>
      <w:r>
        <w:rPr>
          <w:rFonts w:hint="eastAsia" w:ascii="仿宋_GB2312" w:eastAsia="仿宋_GB2312"/>
          <w:color w:val="auto"/>
          <w:sz w:val="32"/>
          <w:szCs w:val="32"/>
        </w:rPr>
        <w:t>。</w:t>
      </w:r>
    </w:p>
    <w:p>
      <w:pPr>
        <w:numPr>
          <w:ilvl w:val="0"/>
          <w:numId w:val="4"/>
        </w:numPr>
        <w:spacing w:line="600" w:lineRule="exact"/>
        <w:ind w:firstLine="640"/>
        <w:outlineLvl w:val="1"/>
        <w:rPr>
          <w:rStyle w:val="26"/>
          <w:rFonts w:hint="eastAsia" w:ascii="黑体" w:hAnsi="黑体" w:eastAsia="黑体"/>
          <w:b w:val="0"/>
          <w:color w:val="auto"/>
        </w:rPr>
      </w:pPr>
      <w:bookmarkStart w:id="94" w:name="_Toc15396612"/>
      <w:bookmarkStart w:id="95" w:name="_Toc15377221"/>
      <w:bookmarkStart w:id="96" w:name="_Toc15809"/>
      <w:bookmarkStart w:id="97" w:name="_Toc3700"/>
      <w:r>
        <w:rPr>
          <w:rStyle w:val="26"/>
          <w:rFonts w:hint="eastAsia" w:ascii="黑体" w:hAnsi="黑体" w:eastAsia="黑体"/>
          <w:b w:val="0"/>
          <w:color w:val="auto"/>
        </w:rPr>
        <w:t>其他重要事项的情况说明</w:t>
      </w:r>
      <w:bookmarkEnd w:id="94"/>
      <w:bookmarkEnd w:id="95"/>
      <w:bookmarkEnd w:id="96"/>
      <w:bookmarkEnd w:id="97"/>
    </w:p>
    <w:p>
      <w:pPr>
        <w:spacing w:line="600" w:lineRule="exact"/>
        <w:ind w:firstLine="643" w:firstLineChars="200"/>
        <w:outlineLvl w:val="2"/>
        <w:rPr>
          <w:rFonts w:ascii="仿宋" w:hAnsi="仿宋" w:eastAsia="仿宋"/>
          <w:color w:val="auto"/>
          <w:sz w:val="32"/>
          <w:szCs w:val="32"/>
        </w:rPr>
      </w:pPr>
      <w:bookmarkStart w:id="98" w:name="_Toc15377222"/>
      <w:r>
        <w:rPr>
          <w:rFonts w:hint="eastAsia" w:ascii="仿宋" w:hAnsi="仿宋" w:eastAsia="仿宋"/>
          <w:b/>
          <w:color w:val="auto"/>
          <w:sz w:val="32"/>
          <w:szCs w:val="32"/>
        </w:rPr>
        <w:t>（一）机关运行经费支出情况</w:t>
      </w:r>
      <w:bookmarkEnd w:id="98"/>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lang w:eastAsia="zh-CN"/>
        </w:rPr>
      </w:pPr>
      <w:bookmarkStart w:id="99" w:name="_Toc15377223"/>
      <w:r>
        <w:rPr>
          <w:rFonts w:hint="eastAsia" w:ascii="仿宋_GB2312" w:eastAsia="仿宋_GB2312"/>
          <w:color w:val="auto"/>
          <w:sz w:val="32"/>
          <w:szCs w:val="32"/>
          <w:lang w:eastAsia="zh-CN"/>
        </w:rPr>
        <w:t>本单位不涉及。</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（二）政府采购支出情况</w:t>
      </w:r>
      <w:bookmarkEnd w:id="99"/>
    </w:p>
    <w:p>
      <w:pPr>
        <w:spacing w:line="600" w:lineRule="exact"/>
        <w:ind w:firstLine="640" w:firstLineChars="200"/>
        <w:rPr>
          <w:rFonts w:hint="eastAsia" w:ascii="仿宋_GB2312" w:eastAsia="仿宋_GB2312"/>
          <w:color w:val="auto"/>
          <w:sz w:val="32"/>
          <w:szCs w:val="32"/>
          <w:lang w:val="en-US" w:eastAsia="zh-CN"/>
        </w:rPr>
      </w:pP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hint="eastAsia" w:ascii="仿宋_GB2312" w:eastAsia="仿宋_GB2312"/>
          <w:color w:val="auto"/>
          <w:sz w:val="32"/>
          <w:szCs w:val="32"/>
          <w:lang w:eastAsia="zh-CN"/>
        </w:rPr>
        <w:t>本单位</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rPr>
      </w:pPr>
      <w:bookmarkStart w:id="100" w:name="_Toc15377224"/>
      <w:r>
        <w:rPr>
          <w:rFonts w:hint="eastAsia" w:ascii="仿宋" w:hAnsi="仿宋" w:eastAsia="仿宋"/>
          <w:b/>
          <w:color w:val="auto"/>
          <w:sz w:val="32"/>
          <w:szCs w:val="32"/>
        </w:rPr>
        <w:t>（三）国有资产占有使用情况</w:t>
      </w:r>
      <w:bookmarkEnd w:id="100"/>
    </w:p>
    <w:p>
      <w:pPr>
        <w:autoSpaceDE w:val="0"/>
        <w:autoSpaceDN w:val="0"/>
        <w:adjustRightInd w:val="0"/>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w:t>
      </w:r>
      <w:r>
        <w:rPr>
          <w:rFonts w:hint="eastAsia" w:ascii="仿宋_GB2312" w:eastAsia="仿宋_GB2312"/>
          <w:color w:val="auto"/>
          <w:sz w:val="32"/>
          <w:szCs w:val="32"/>
          <w:lang w:eastAsia="zh-CN"/>
        </w:rPr>
        <w:t>本单位</w:t>
      </w:r>
      <w:r>
        <w:rPr>
          <w:rFonts w:hint="eastAsia" w:ascii="仿宋_GB2312" w:eastAsia="仿宋_GB2312"/>
          <w:color w:val="auto"/>
          <w:sz w:val="32"/>
          <w:szCs w:val="32"/>
        </w:rPr>
        <w:t>共有车辆</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辆，其中：其他用车</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辆</w:t>
      </w:r>
      <w:r>
        <w:rPr>
          <w:rFonts w:hint="eastAsia" w:ascii="仿宋_GB2312" w:eastAsia="仿宋_GB2312"/>
          <w:color w:val="auto"/>
          <w:sz w:val="32"/>
          <w:szCs w:val="32"/>
          <w:lang w:eastAsia="zh-CN"/>
        </w:rPr>
        <w:t>，</w:t>
      </w:r>
      <w:r>
        <w:rPr>
          <w:rFonts w:hint="eastAsia" w:ascii="仿宋_GB2312" w:eastAsia="仿宋_GB2312"/>
          <w:color w:val="auto"/>
          <w:sz w:val="32"/>
          <w:szCs w:val="32"/>
        </w:rPr>
        <w:t>其他用车主要是用于</w:t>
      </w:r>
      <w:r>
        <w:rPr>
          <w:rFonts w:hint="eastAsia" w:ascii="仿宋_GB2312" w:eastAsia="仿宋_GB2312"/>
          <w:color w:val="auto"/>
          <w:sz w:val="32"/>
          <w:szCs w:val="32"/>
          <w:lang w:eastAsia="zh-CN"/>
        </w:rPr>
        <w:t>单位生产方面；</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台，单价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lang w:eastAsia="zh-CN"/>
        </w:rPr>
      </w:pPr>
      <w:r>
        <w:rPr>
          <w:rFonts w:hint="eastAsia" w:ascii="仿宋" w:hAnsi="仿宋" w:eastAsia="仿宋"/>
          <w:b/>
          <w:color w:val="auto"/>
          <w:sz w:val="32"/>
          <w:szCs w:val="32"/>
        </w:rPr>
        <w:t>（四）预算绩效管理情况</w:t>
      </w:r>
    </w:p>
    <w:p>
      <w:pPr>
        <w:pStyle w:val="2"/>
        <w:ind w:firstLine="640" w:firstLineChars="200"/>
        <w:jc w:val="both"/>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根据预算绩效管理要求，年终执行完毕后，对2个项目开展了绩效目标完成情况自评。从评价情况来看根据布点方案，进行现场采样，对样品进行实验分析，出具实验结果及监测报告，为风险分级工作和优先管控名录建立提供科学依据，完成了802个地块（不包含1地块无样品）的分析测试任务。项目数量指标、质量指标、经济指标、社会效益等指标均达到预期目标。</w:t>
      </w:r>
      <w:r>
        <w:rPr>
          <w:rFonts w:ascii="宋体" w:hAnsi="宋体" w:eastAsia="宋体" w:cs="宋体"/>
          <w:sz w:val="24"/>
          <w:szCs w:val="24"/>
        </w:rPr>
        <w:br w:type="textWrapping"/>
      </w:r>
      <w:r>
        <w:rPr>
          <w:rFonts w:hint="eastAsia" w:ascii="仿宋_GB2312" w:hAnsi="Times New Roman" w:eastAsia="仿宋_GB2312" w:cs="Times New Roman"/>
          <w:color w:val="auto"/>
          <w:kern w:val="2"/>
          <w:sz w:val="32"/>
          <w:szCs w:val="32"/>
          <w:lang w:val="en-US" w:eastAsia="zh-CN" w:bidi="ar-SA"/>
        </w:rPr>
        <w:t>   </w:t>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 </w:t>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本单位在2020年度</w:t>
      </w:r>
      <w:r>
        <w:rPr>
          <w:rFonts w:hint="eastAsia" w:cs="Times New Roman"/>
          <w:color w:val="auto"/>
          <w:kern w:val="2"/>
          <w:sz w:val="32"/>
          <w:szCs w:val="32"/>
          <w:lang w:val="en-US" w:eastAsia="zh-CN" w:bidi="ar-SA"/>
        </w:rPr>
        <w:t>单位</w:t>
      </w:r>
      <w:r>
        <w:rPr>
          <w:rFonts w:hint="eastAsia" w:ascii="仿宋_GB2312" w:hAnsi="Times New Roman" w:eastAsia="仿宋_GB2312" w:cs="Times New Roman"/>
          <w:color w:val="auto"/>
          <w:kern w:val="2"/>
          <w:sz w:val="32"/>
          <w:szCs w:val="32"/>
          <w:lang w:val="en-US" w:eastAsia="zh-CN" w:bidi="ar-SA"/>
        </w:rPr>
        <w:t>决算中反映了“重点行业企业用地土壤调查项目”“2020年第四批生态环境保护资金（土壤污染防治）”共2个项目绩效目标实际完成情况。</w:t>
      </w:r>
      <w:r>
        <w:rPr>
          <w:rFonts w:hint="eastAsia" w:ascii="仿宋_GB2312" w:hAnsi="Times New Roman" w:eastAsia="仿宋_GB2312" w:cs="Times New Roman"/>
          <w:color w:val="auto"/>
          <w:kern w:val="2"/>
          <w:sz w:val="32"/>
          <w:szCs w:val="32"/>
          <w:lang w:val="en-US" w:eastAsia="zh-CN" w:bidi="ar-SA"/>
        </w:rPr>
        <w:br w:type="textWrapping"/>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1）重点行业企业用地土壤调查项目绩效目标完成情况综述。项目全年预算数1299万元，执行数为1299万元，完成预算的100%。通过项目实施，完成了四川省9个市（州）共383个地块、2个区域土壤背景点、14个化工园样品采集及承担区域内土壤样品的粗制工作，项目数量指标、质量指标、经济指标、社会效益等指标均达到预期目标。</w:t>
      </w:r>
      <w:r>
        <w:rPr>
          <w:rFonts w:hint="eastAsia" w:ascii="仿宋_GB2312" w:hAnsi="Times New Roman" w:eastAsia="仿宋_GB2312" w:cs="Times New Roman"/>
          <w:color w:val="auto"/>
          <w:kern w:val="2"/>
          <w:sz w:val="32"/>
          <w:szCs w:val="32"/>
          <w:lang w:val="en-US" w:eastAsia="zh-CN" w:bidi="ar-SA"/>
        </w:rPr>
        <w:br w:type="textWrapping"/>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发现的主要问题：因新冠疫情影响，原采样启动计划被迫延迟，但生态环境部仍要求按原计划完成采样，因此为确保采样工作的按期、保质完成，在组织采样过程中增加了采样人员的投入。</w:t>
      </w:r>
    </w:p>
    <w:p>
      <w:pPr>
        <w:pStyle w:val="2"/>
        <w:ind w:firstLine="640" w:firstLineChars="200"/>
        <w:jc w:val="both"/>
        <w:rPr>
          <w:rFonts w:hint="eastAsia"/>
          <w:lang w:val="en-US" w:eastAsia="zh-CN"/>
        </w:rPr>
      </w:pPr>
      <w:r>
        <w:rPr>
          <w:rFonts w:hint="eastAsia" w:cs="Times New Roman"/>
          <w:color w:val="auto"/>
          <w:kern w:val="2"/>
          <w:sz w:val="32"/>
          <w:szCs w:val="32"/>
          <w:lang w:val="en-US" w:eastAsia="zh-CN" w:bidi="ar-SA"/>
        </w:rPr>
        <w:t>改进措施：</w:t>
      </w:r>
      <w:r>
        <w:rPr>
          <w:rFonts w:hint="eastAsia" w:ascii="仿宋_GB2312" w:hAnsi="Times New Roman" w:eastAsia="仿宋_GB2312" w:cs="Times New Roman"/>
          <w:color w:val="auto"/>
          <w:kern w:val="2"/>
          <w:sz w:val="32"/>
          <w:szCs w:val="32"/>
          <w:lang w:val="en-US" w:eastAsia="zh-CN" w:bidi="ar-SA"/>
        </w:rPr>
        <w:t>通过制定科学、合理的采样方案，合理安排采样工序，并积极探索新的采样工艺，缩短采样工期，确保按期完成采样任务，并降低采样成本。 </w:t>
      </w:r>
      <w:r>
        <w:rPr>
          <w:rFonts w:hint="eastAsia" w:ascii="仿宋_GB2312" w:hAnsi="Times New Roman" w:eastAsia="仿宋_GB2312" w:cs="Times New Roman"/>
          <w:color w:val="auto"/>
          <w:kern w:val="2"/>
          <w:sz w:val="32"/>
          <w:szCs w:val="32"/>
          <w:lang w:val="en-US" w:eastAsia="zh-CN" w:bidi="ar-SA"/>
        </w:rPr>
        <w:br w:type="textWrapping"/>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2）四川省重点行业企业用地调查分析项目绩效目标完成情况综述。项目全年预算数1146万元，执行数为1146万元，完成预算的100%。通过项目实施，对加强土壤环境污染防治和风险管控，维护公众健康，建立和完善我省土壤环境管理体系，提升土壤环境管理水平，促进土壤资源永续利用、保障人居环境安全，具有十分重要的意义。发现的主要问题：本项目实施过程中，主要问题存在于采样环节和分析测试环节进度不一致，通过及时沟通，使得本项目高效开展，最终在川内率先完成分析测试任务。</w:t>
      </w:r>
      <w:r>
        <w:rPr>
          <w:rFonts w:hint="eastAsia" w:ascii="仿宋_GB2312" w:hAnsi="Times New Roman" w:eastAsia="仿宋_GB2312" w:cs="Times New Roman"/>
          <w:color w:val="auto"/>
          <w:kern w:val="2"/>
          <w:sz w:val="32"/>
          <w:szCs w:val="32"/>
          <w:lang w:val="en-US" w:eastAsia="zh-CN" w:bidi="ar-SA"/>
        </w:rPr>
        <w:br w:type="textWrapping"/>
      </w:r>
      <w:r>
        <w:rPr>
          <w:rFonts w:hint="eastAsia" w:ascii="仿宋_GB2312" w:hAnsi="Times New Roman" w:eastAsia="仿宋_GB2312" w:cs="Times New Roman"/>
          <w:color w:val="auto"/>
          <w:kern w:val="2"/>
          <w:sz w:val="32"/>
          <w:szCs w:val="32"/>
          <w:lang w:val="en-US" w:eastAsia="zh-CN" w:bidi="ar-SA"/>
        </w:rPr>
        <w:t>项目满意度需要提升。在项目实施过程中，客观上，时间紧、任务重、数据量大，主观上，前期经验不足，对数据处理及审核不够细致，虽然合格率远超技术要求规定，但是仍然出现了部分质量问题。</w:t>
      </w:r>
      <w:r>
        <w:rPr>
          <w:rFonts w:hint="eastAsia" w:ascii="仿宋_GB2312" w:hAnsi="Times New Roman" w:eastAsia="仿宋_GB2312" w:cs="Times New Roman"/>
          <w:color w:val="auto"/>
          <w:kern w:val="2"/>
          <w:sz w:val="32"/>
          <w:szCs w:val="32"/>
          <w:lang w:val="en-US" w:eastAsia="zh-CN" w:bidi="ar-SA"/>
        </w:rPr>
        <w:br w:type="textWrapping"/>
      </w:r>
      <w:r>
        <w:rPr>
          <w:rFonts w:hint="eastAsia" w:cs="Times New Roman"/>
          <w:color w:val="auto"/>
          <w:kern w:val="2"/>
          <w:sz w:val="32"/>
          <w:szCs w:val="32"/>
          <w:lang w:val="en-US" w:eastAsia="zh-CN" w:bidi="ar-SA"/>
        </w:rPr>
        <w:t xml:space="preserve">    </w:t>
      </w:r>
      <w:r>
        <w:rPr>
          <w:rFonts w:hint="eastAsia" w:ascii="仿宋_GB2312" w:hAnsi="Times New Roman" w:eastAsia="仿宋_GB2312" w:cs="Times New Roman"/>
          <w:color w:val="auto"/>
          <w:kern w:val="2"/>
          <w:sz w:val="32"/>
          <w:szCs w:val="32"/>
          <w:lang w:val="en-US" w:eastAsia="zh-CN" w:bidi="ar-SA"/>
        </w:rPr>
        <w:t>改进措施：前期充分介入，了解项目开展方式；优化人员仪器配置，确保分析进度；积极进行方法及流程创新，提高精度，提高效率；开发数据处理系统，确保分析上报高效、精确。</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ascii="宋体" w:hAnsi="宋体" w:cs="宋体"/>
                <w:color w:val="auto"/>
                <w:sz w:val="36"/>
                <w:szCs w:val="36"/>
              </w:rPr>
            </w:pPr>
            <w:r>
              <w:rPr>
                <w:rFonts w:hint="eastAsia" w:ascii="宋体" w:hAnsi="宋体" w:cs="宋体"/>
                <w:b/>
                <w:bCs/>
                <w:color w:val="auto"/>
                <w:kern w:val="0"/>
                <w:sz w:val="36"/>
                <w:szCs w:val="36"/>
                <w:lang w:bidi="ar"/>
              </w:rPr>
              <w:t>项目绩效目标完成情况表</w:t>
            </w:r>
            <w:r>
              <w:rPr>
                <w:rFonts w:hint="eastAsia" w:ascii="宋体" w:hAnsi="宋体" w:cs="宋体"/>
                <w:b/>
                <w:bCs/>
                <w:color w:val="auto"/>
                <w:kern w:val="0"/>
                <w:sz w:val="36"/>
                <w:szCs w:val="36"/>
                <w:lang w:bidi="ar"/>
              </w:rPr>
              <w:br w:type="textWrapping"/>
            </w:r>
            <w:r>
              <w:rPr>
                <w:rFonts w:hint="eastAsia" w:ascii="宋体" w:hAnsi="宋体" w:cs="宋体"/>
                <w:color w:val="auto"/>
                <w:kern w:val="0"/>
                <w:sz w:val="36"/>
                <w:szCs w:val="36"/>
                <w:lang w:bidi="ar"/>
              </w:rPr>
              <w:t>(20</w:t>
            </w:r>
            <w:r>
              <w:rPr>
                <w:rFonts w:hint="eastAsia" w:ascii="宋体" w:hAnsi="宋体" w:cs="宋体"/>
                <w:color w:val="auto"/>
                <w:kern w:val="0"/>
                <w:sz w:val="36"/>
                <w:szCs w:val="36"/>
                <w:lang w:val="en-US" w:eastAsia="zh-CN" w:bidi="ar"/>
              </w:rPr>
              <w:t>20</w:t>
            </w:r>
            <w:r>
              <w:rPr>
                <w:rFonts w:hint="eastAsia" w:ascii="宋体" w:hAnsi="宋体" w:cs="宋体"/>
                <w:color w:val="auto"/>
                <w:kern w:val="0"/>
                <w:sz w:val="36"/>
                <w:szCs w:val="36"/>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val="en-US" w:eastAsia="zh-CN" w:bidi="ar"/>
              </w:rPr>
              <w:t>四川省重点行业企业用地调查分析项目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四川省地质矿产勘查开发局成都水文地质工程地质队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1299.00</w:t>
            </w:r>
          </w:p>
        </w:tc>
      </w:tr>
      <w:tr>
        <w:tblPrEx>
          <w:tblCellMar>
            <w:top w:w="0" w:type="dxa"/>
            <w:left w:w="0" w:type="dxa"/>
            <w:bottom w:w="0" w:type="dxa"/>
            <w:right w:w="0" w:type="dxa"/>
          </w:tblCellMar>
        </w:tblPrEx>
        <w:trPr>
          <w:trHeight w:val="64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w:t>
            </w:r>
          </w:p>
          <w:p>
            <w:pPr>
              <w:widowControl/>
              <w:jc w:val="center"/>
              <w:textAlignment w:val="center"/>
              <w:rPr>
                <w:rFonts w:ascii="宋体" w:hAnsi="宋体" w:cs="宋体"/>
                <w:color w:val="auto"/>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项目共完成了四川省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9个市（州）共383个地块、2个区域土壤背景点、14个化工园样品采集及承担区域内土壤样品的粗制工作，项目数量指标、质量指标、经济指标、社会效益等指标均达到预期目标。</w:t>
            </w:r>
          </w:p>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调查数据通过国家质量审核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调查数据通过国家质量审核</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完成2020年度工作计划时间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计划时间内完成指标值，得分</w:t>
            </w:r>
            <w:r>
              <w:rPr>
                <w:rFonts w:hint="eastAsia" w:ascii="宋体" w:hAnsi="宋体" w:cs="宋体"/>
                <w:color w:val="auto"/>
                <w:sz w:val="24"/>
                <w:lang w:val="en-US" w:eastAsia="zh-CN"/>
              </w:rPr>
              <w:t>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left="0" w:leftChars="0" w:firstLine="0" w:firstLine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项目实施未超出预算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未超出预算，得分10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p>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资金使用率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lang w:eastAsia="zh-CN"/>
              </w:rPr>
              <w:t>指标值</w:t>
            </w:r>
            <w:r>
              <w:rPr>
                <w:rFonts w:hint="eastAsia"/>
                <w:lang w:val="en-US" w:eastAsia="zh-CN"/>
              </w:rPr>
              <w:t>10：</w:t>
            </w:r>
            <w:r>
              <w:rPr>
                <w:rFonts w:hint="eastAsia"/>
              </w:rPr>
              <w:t>指标得分=资金实际使用金额/资金实际拨付金额×100%*指标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项目实施预算执行率100%，指标得分10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污染地块安全利用率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较为充分安全利用</w:t>
            </w:r>
            <w:r>
              <w:rPr>
                <w:rFonts w:hint="eastAsia" w:ascii="宋体" w:hAnsi="宋体" w:eastAsia="宋体" w:cs="宋体"/>
                <w:color w:val="auto"/>
                <w:kern w:val="0"/>
                <w:sz w:val="24"/>
                <w:szCs w:val="24"/>
                <w:lang w:val="en-US" w:eastAsia="zh-CN" w:bidi="ar"/>
              </w:rPr>
              <w:t>污染地块</w:t>
            </w:r>
            <w:r>
              <w:rPr>
                <w:rFonts w:hint="eastAsia" w:ascii="宋体" w:hAnsi="宋体" w:cs="宋体"/>
                <w:color w:val="auto"/>
                <w:kern w:val="0"/>
                <w:sz w:val="24"/>
                <w:szCs w:val="24"/>
                <w:lang w:val="en-US" w:eastAsia="zh-CN" w:bidi="ar"/>
              </w:rPr>
              <w:t>，得分3</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调查范围内土壤风险防患防控率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较有效防患防控调查范围内土壤风险，得分4</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掌握重点行业企业用地基本情况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准确掌握重点行业企业用地基本情况，得分10</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指标值10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详查数据服务对象满意，得分8</w:t>
            </w:r>
          </w:p>
        </w:tc>
      </w:tr>
    </w:tbl>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hint="eastAsia" w:ascii="宋体" w:hAnsi="宋体" w:cs="宋体"/>
                <w:b/>
                <w:bCs/>
                <w:color w:val="auto"/>
                <w:kern w:val="0"/>
                <w:sz w:val="36"/>
                <w:szCs w:val="36"/>
                <w:lang w:bidi="ar"/>
              </w:rPr>
            </w:pPr>
          </w:p>
          <w:p>
            <w:pPr>
              <w:pStyle w:val="2"/>
              <w:numPr>
                <w:ilvl w:val="0"/>
                <w:numId w:val="0"/>
              </w:numPr>
              <w:ind w:firstLine="723" w:firstLineChars="200"/>
              <w:jc w:val="center"/>
              <w:rPr>
                <w:rFonts w:ascii="宋体" w:hAnsi="宋体" w:cs="宋体"/>
                <w:color w:val="auto"/>
                <w:sz w:val="36"/>
                <w:szCs w:val="36"/>
              </w:rPr>
            </w:pPr>
            <w:r>
              <w:rPr>
                <w:rFonts w:hint="eastAsia" w:ascii="宋体" w:hAnsi="宋体" w:cs="宋体"/>
                <w:b/>
                <w:bCs/>
                <w:color w:val="auto"/>
                <w:kern w:val="0"/>
                <w:sz w:val="36"/>
                <w:szCs w:val="36"/>
                <w:lang w:bidi="ar"/>
              </w:rPr>
              <w:t>项目绩效目标完成情况表</w:t>
            </w:r>
            <w:r>
              <w:rPr>
                <w:rFonts w:hint="eastAsia" w:ascii="宋体" w:hAnsi="宋体" w:cs="宋体"/>
                <w:b/>
                <w:bCs/>
                <w:color w:val="auto"/>
                <w:kern w:val="0"/>
                <w:sz w:val="36"/>
                <w:szCs w:val="36"/>
                <w:lang w:bidi="ar"/>
              </w:rPr>
              <w:br w:type="textWrapping"/>
            </w:r>
            <w:r>
              <w:rPr>
                <w:rFonts w:hint="eastAsia" w:ascii="宋体" w:hAnsi="宋体" w:cs="宋体"/>
                <w:color w:val="auto"/>
                <w:kern w:val="0"/>
                <w:sz w:val="36"/>
                <w:szCs w:val="36"/>
                <w:lang w:bidi="ar"/>
              </w:rPr>
              <w:t>(20</w:t>
            </w:r>
            <w:r>
              <w:rPr>
                <w:rFonts w:hint="eastAsia" w:ascii="宋体" w:hAnsi="宋体" w:cs="宋体"/>
                <w:color w:val="auto"/>
                <w:kern w:val="0"/>
                <w:sz w:val="36"/>
                <w:szCs w:val="36"/>
                <w:lang w:val="en-US" w:eastAsia="zh-CN" w:bidi="ar"/>
              </w:rPr>
              <w:t>20</w:t>
            </w:r>
            <w:r>
              <w:rPr>
                <w:rFonts w:hint="eastAsia" w:ascii="宋体" w:hAnsi="宋体" w:cs="宋体"/>
                <w:color w:val="auto"/>
                <w:kern w:val="0"/>
                <w:sz w:val="36"/>
                <w:szCs w:val="36"/>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val="en-US" w:eastAsia="zh-CN" w:bidi="ar"/>
              </w:rPr>
              <w:t>四川省重点行业企业用地调查分析项目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四川省地质矿产勘查开发局成都水文地质工程地质队</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lang w:val="en-US" w:eastAsia="zh-CN"/>
              </w:rPr>
              <w:t>1146.00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rPr>
              <w:t>1265.69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1146.00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1146.00</w:t>
            </w:r>
          </w:p>
        </w:tc>
      </w:tr>
      <w:tr>
        <w:tblPrEx>
          <w:tblCellMar>
            <w:top w:w="0" w:type="dxa"/>
            <w:left w:w="0" w:type="dxa"/>
            <w:bottom w:w="0" w:type="dxa"/>
            <w:right w:w="0" w:type="dxa"/>
          </w:tblCellMar>
        </w:tblPrEx>
        <w:trPr>
          <w:trHeight w:val="647"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0.00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119.69</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w:t>
            </w:r>
          </w:p>
          <w:p>
            <w:pPr>
              <w:widowControl/>
              <w:jc w:val="center"/>
              <w:textAlignment w:val="center"/>
              <w:rPr>
                <w:rFonts w:ascii="宋体" w:hAnsi="宋体" w:cs="宋体"/>
                <w:color w:val="auto"/>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firstLine="560"/>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项目共完成了四川省</w:t>
            </w:r>
            <w:r>
              <w:rPr>
                <w:rFonts w:hint="eastAsia" w:ascii="宋体" w:hAnsi="宋体" w:eastAsia="宋体" w:cs="宋体"/>
                <w:color w:val="auto"/>
                <w:kern w:val="0"/>
                <w:sz w:val="24"/>
                <w:szCs w:val="24"/>
                <w:lang w:val="zh-CN" w:eastAsia="zh-CN" w:bidi="ar"/>
              </w:rPr>
              <w:t>9个市（州）共383个地块、2个区域土壤背景点、14个化工园样品采集及承担区域内土壤样品的粗制工作，项目数量指标、质量指标、经济指标、社会效益等指标均达到预期目标。</w:t>
            </w:r>
          </w:p>
          <w:p>
            <w:pPr>
              <w:widowControl/>
              <w:jc w:val="center"/>
              <w:textAlignment w:val="center"/>
              <w:rPr>
                <w:rFonts w:ascii="宋体" w:hAnsi="宋体" w:cs="宋体"/>
                <w:color w:val="auto"/>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完成重点行业企业用地调查土壤及地下水采样、制样、工业园区采样等地块数量</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调查数据通过国家质量审核</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w:t>
            </w:r>
            <w:r>
              <w:rPr>
                <w:rFonts w:hint="eastAsia" w:ascii="宋体" w:hAnsi="宋体" w:eastAsia="宋体" w:cs="宋体"/>
                <w:color w:val="auto"/>
                <w:kern w:val="0"/>
                <w:sz w:val="24"/>
                <w:szCs w:val="24"/>
                <w:lang w:val="en-US" w:eastAsia="zh-CN" w:bidi="ar"/>
              </w:rPr>
              <w:t>20</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auto"/>
                <w:sz w:val="24"/>
                <w:lang w:val="en-US"/>
              </w:rPr>
            </w:pPr>
            <w:r>
              <w:rPr>
                <w:rFonts w:hint="eastAsia" w:ascii="宋体" w:hAnsi="宋体" w:eastAsia="宋体" w:cs="宋体"/>
                <w:color w:val="auto"/>
                <w:kern w:val="0"/>
                <w:sz w:val="24"/>
                <w:szCs w:val="24"/>
                <w:lang w:val="en-US" w:eastAsia="zh-CN" w:bidi="ar"/>
              </w:rPr>
              <w:t>调查数据通过国家质量审核</w:t>
            </w:r>
            <w:r>
              <w:rPr>
                <w:rFonts w:hint="eastAsia" w:ascii="宋体" w:hAnsi="宋体" w:cs="宋体"/>
                <w:color w:val="auto"/>
                <w:kern w:val="0"/>
                <w:sz w:val="24"/>
                <w:szCs w:val="24"/>
                <w:lang w:val="en-US" w:eastAsia="zh-CN" w:bidi="ar"/>
              </w:rPr>
              <w:t>，得分20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完成2020年度工作计划时间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eastAsia="zh-CN"/>
              </w:rPr>
              <w:t>计划时间内完成指标值，得分</w:t>
            </w:r>
            <w:r>
              <w:rPr>
                <w:rFonts w:hint="eastAsia" w:ascii="宋体" w:hAnsi="宋体" w:cs="宋体"/>
                <w:color w:val="auto"/>
                <w:sz w:val="24"/>
                <w:lang w:val="en-US" w:eastAsia="zh-CN"/>
              </w:rPr>
              <w:t>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kern w:val="0"/>
                <w:sz w:val="24"/>
                <w:lang w:bidi="ar"/>
              </w:rPr>
            </w:pPr>
            <w:r>
              <w:rPr>
                <w:rFonts w:hint="eastAsia" w:ascii="宋体" w:hAnsi="宋体" w:cs="宋体"/>
                <w:color w:val="auto"/>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left="0" w:leftChars="0" w:firstLine="0" w:firstLineChars="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项目实施未超出预算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指标值10：</w:t>
            </w:r>
            <w:r>
              <w:rPr>
                <w:rFonts w:hint="eastAsia" w:ascii="宋体" w:hAnsi="宋体" w:eastAsia="宋体" w:cs="宋体"/>
                <w:color w:val="auto"/>
                <w:kern w:val="0"/>
                <w:sz w:val="24"/>
                <w:szCs w:val="24"/>
                <w:lang w:val="en-US" w:eastAsia="zh-CN" w:bidi="ar"/>
              </w:rPr>
              <w:t>本次绩效评价采用百分制，各级指标依据其指标权重确定分值，最终得分由各级评价指标得分加总形成。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未超出预算，得分10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p>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资金使用率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lang w:eastAsia="zh-CN"/>
              </w:rPr>
              <w:t>指标值</w:t>
            </w:r>
            <w:r>
              <w:rPr>
                <w:rFonts w:hint="eastAsia"/>
                <w:lang w:val="en-US" w:eastAsia="zh-CN"/>
              </w:rPr>
              <w:t>10：</w:t>
            </w:r>
            <w:r>
              <w:rPr>
                <w:rFonts w:hint="eastAsia"/>
              </w:rPr>
              <w:t>指标得分=资金实际使用金额/资金实际拨付金额×100%*指标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项目实施预算执行率100%，指标得分10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污染地块安全利用率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较为充分安全利用</w:t>
            </w:r>
            <w:r>
              <w:rPr>
                <w:rFonts w:hint="eastAsia" w:ascii="宋体" w:hAnsi="宋体" w:eastAsia="宋体" w:cs="宋体"/>
                <w:color w:val="auto"/>
                <w:kern w:val="0"/>
                <w:sz w:val="24"/>
                <w:szCs w:val="24"/>
                <w:lang w:val="en-US" w:eastAsia="zh-CN" w:bidi="ar"/>
              </w:rPr>
              <w:t>污染地块</w:t>
            </w:r>
            <w:r>
              <w:rPr>
                <w:rFonts w:hint="eastAsia" w:ascii="宋体" w:hAnsi="宋体" w:cs="宋体"/>
                <w:color w:val="auto"/>
                <w:kern w:val="0"/>
                <w:sz w:val="24"/>
                <w:szCs w:val="24"/>
                <w:lang w:val="en-US" w:eastAsia="zh-CN" w:bidi="ar"/>
              </w:rPr>
              <w:t>，得分6</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调查范围内土壤风险防患防控率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较有效防患防控调查范围内土壤风险，得分5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掌握重点行业企业用地基本情况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指标分值6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kern w:val="0"/>
                <w:sz w:val="24"/>
                <w:szCs w:val="24"/>
                <w:lang w:val="en-US" w:eastAsia="zh-CN" w:bidi="ar"/>
              </w:rPr>
            </w:pPr>
            <w:r>
              <w:rPr>
                <w:rFonts w:hint="eastAsia" w:ascii="宋体" w:hAnsi="宋体" w:cs="宋体"/>
                <w:color w:val="auto"/>
                <w:kern w:val="0"/>
                <w:sz w:val="24"/>
                <w:szCs w:val="24"/>
                <w:lang w:val="en-US" w:eastAsia="zh-CN" w:bidi="ar"/>
              </w:rPr>
              <w:t>准确掌握重点行业企业用地基本情况，得分6</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指标值10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spacing w:line="240" w:lineRule="auto"/>
              <w:ind w:firstLine="0" w:firstLineChars="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详查数据服务对象满意，得分9</w:t>
            </w:r>
          </w:p>
        </w:tc>
      </w:tr>
    </w:tbl>
    <w:p>
      <w:pPr>
        <w:spacing w:line="580" w:lineRule="exact"/>
        <w:rPr>
          <w:rFonts w:hint="eastAsia" w:ascii="楷体_GB2312" w:hAnsi="楷体_GB2312" w:eastAsia="楷体_GB2312" w:cs="楷体_GB2312"/>
          <w:color w:val="auto"/>
          <w:sz w:val="32"/>
          <w:szCs w:val="32"/>
        </w:rPr>
      </w:pPr>
    </w:p>
    <w:p>
      <w:pPr>
        <w:spacing w:line="580" w:lineRule="exact"/>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tabs>
          <w:tab w:val="left" w:pos="3885"/>
        </w:tabs>
        <w:snapToGrid w:val="0"/>
        <w:spacing w:line="600" w:lineRule="exact"/>
        <w:ind w:firstLine="640" w:firstLineChars="200"/>
        <w:jc w:val="left"/>
        <w:rPr>
          <w:rFonts w:ascii="仿宋_GB2312" w:eastAsia="仿宋_GB2312"/>
          <w:b/>
          <w:color w:val="auto"/>
          <w:sz w:val="32"/>
          <w:szCs w:val="32"/>
        </w:rPr>
      </w:pPr>
      <w:r>
        <w:rPr>
          <w:rFonts w:hint="eastAsia" w:ascii="仿宋_GB2312" w:hAnsi="仿宋_GB2312" w:eastAsia="仿宋_GB2312" w:cs="仿宋_GB2312"/>
          <w:color w:val="auto"/>
          <w:sz w:val="32"/>
          <w:szCs w:val="32"/>
        </w:rPr>
        <w:t>本单位自行组织对</w:t>
      </w:r>
      <w:r>
        <w:rPr>
          <w:rFonts w:hint="eastAsia" w:ascii="仿宋_GB2312" w:hAnsi="仿宋_GB2312" w:eastAsia="仿宋_GB2312" w:cs="仿宋_GB2312"/>
          <w:color w:val="auto"/>
          <w:sz w:val="32"/>
          <w:szCs w:val="32"/>
          <w:lang w:val="en-US" w:eastAsia="zh-CN"/>
        </w:rPr>
        <w:t>四川省重点行业企业用地调查分析</w:t>
      </w:r>
      <w:r>
        <w:rPr>
          <w:rFonts w:hint="eastAsia" w:ascii="仿宋_GB2312" w:hAnsi="仿宋_GB2312" w:eastAsia="仿宋_GB2312" w:cs="仿宋_GB2312"/>
          <w:color w:val="auto"/>
          <w:sz w:val="32"/>
          <w:szCs w:val="32"/>
        </w:rPr>
        <w:t>项目开展了绩效评价，《2020年四川省重点行业企业用地调查采样项目支出绩效自评报告》见附件</w:t>
      </w:r>
      <w:r>
        <w:rPr>
          <w:rFonts w:hint="eastAsia" w:ascii="仿宋_GB2312" w:hAnsi="仿宋_GB2312" w:eastAsia="仿宋_GB2312" w:cs="仿宋_GB2312"/>
          <w:color w:val="auto"/>
          <w:sz w:val="32"/>
          <w:szCs w:val="32"/>
          <w:lang w:eastAsia="zh-CN"/>
        </w:rPr>
        <w:t>（第四部分）</w:t>
      </w:r>
      <w:r>
        <w:rPr>
          <w:rFonts w:hint="eastAsia" w:ascii="仿宋_GB2312" w:hAnsi="仿宋_GB2312" w:eastAsia="仿宋_GB2312" w:cs="仿宋_GB2312"/>
          <w:color w:val="auto"/>
          <w:sz w:val="32"/>
          <w:szCs w:val="32"/>
        </w:rPr>
        <w:t>。</w:t>
      </w:r>
    </w:p>
    <w:p>
      <w:pPr>
        <w:widowControl/>
        <w:jc w:val="left"/>
        <w:rPr>
          <w:rFonts w:ascii="仿宋_GB2312" w:eastAsia="仿宋_GB2312"/>
          <w:b/>
          <w:color w:val="auto"/>
          <w:sz w:val="32"/>
          <w:szCs w:val="32"/>
        </w:rPr>
      </w:pPr>
      <w:r>
        <w:rPr>
          <w:rFonts w:ascii="仿宋_GB2312" w:eastAsia="仿宋_GB2312"/>
          <w:b/>
          <w:color w:val="auto"/>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101" w:name="_Toc15377225"/>
      <w:bookmarkStart w:id="102" w:name="_Toc15396613"/>
      <w:bookmarkStart w:id="103" w:name="_Toc14320"/>
      <w:bookmarkStart w:id="104" w:name="_Toc8145"/>
      <w:bookmarkStart w:id="105" w:name="_Toc7099"/>
      <w:bookmarkStart w:id="106" w:name="_Toc12243"/>
      <w:r>
        <w:rPr>
          <w:rFonts w:hint="eastAsia" w:ascii="黑体" w:hAnsi="黑体" w:eastAsia="黑体"/>
          <w:color w:val="000000"/>
          <w:sz w:val="44"/>
          <w:szCs w:val="44"/>
        </w:rPr>
        <w:t>名</w:t>
      </w:r>
      <w:r>
        <w:rPr>
          <w:rStyle w:val="25"/>
          <w:rFonts w:hint="eastAsia" w:ascii="黑体" w:hAnsi="黑体" w:eastAsia="黑体"/>
          <w:b w:val="0"/>
        </w:rPr>
        <w:t>词解释</w:t>
      </w:r>
      <w:bookmarkEnd w:id="101"/>
      <w:bookmarkEnd w:id="102"/>
      <w:bookmarkEnd w:id="103"/>
      <w:bookmarkEnd w:id="104"/>
      <w:bookmarkEnd w:id="105"/>
      <w:bookmarkEnd w:id="10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lang w:eastAsia="zh-CN"/>
        </w:rPr>
        <w:t>使用非财政拨款结余</w:t>
      </w:r>
      <w:r>
        <w:rPr>
          <w:rFonts w:hint="eastAsia" w:ascii="仿宋_GB2312" w:eastAsia="仿宋_GB2312"/>
          <w:sz w:val="32"/>
          <w:szCs w:val="32"/>
        </w:rPr>
        <w:t>：指事业单位</w:t>
      </w:r>
      <w:r>
        <w:rPr>
          <w:rFonts w:hint="eastAsia" w:ascii="仿宋_GB2312" w:eastAsia="仿宋_GB2312"/>
          <w:sz w:val="32"/>
          <w:szCs w:val="32"/>
          <w:lang w:eastAsia="zh-CN"/>
        </w:rPr>
        <w:t>使用以前年度积累的非财政拨款结余弥补当年收支差额的金额</w:t>
      </w:r>
      <w:r>
        <w:rPr>
          <w:rFonts w:hint="eastAsia" w:ascii="仿宋_GB2312" w:eastAsia="仿宋_GB2312"/>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科学技术</w:t>
      </w:r>
      <w:r>
        <w:rPr>
          <w:rFonts w:hint="eastAsia" w:ascii="仿宋_GB2312" w:eastAsia="仿宋_GB2312"/>
          <w:color w:val="000000"/>
          <w:sz w:val="32"/>
          <w:szCs w:val="32"/>
          <w:lang w:eastAsia="zh-CN"/>
        </w:rPr>
        <w:t>生产</w:t>
      </w:r>
      <w:r>
        <w:rPr>
          <w:rFonts w:hint="eastAsia" w:ascii="仿宋_GB2312" w:eastAsia="仿宋_GB2312"/>
          <w:color w:val="000000"/>
          <w:sz w:val="32"/>
          <w:szCs w:val="32"/>
        </w:rPr>
        <w:t>：</w:t>
      </w:r>
      <w:r>
        <w:rPr>
          <w:rFonts w:hint="eastAsia" w:ascii="仿宋_GB2312" w:eastAsia="仿宋_GB2312"/>
          <w:color w:val="000000"/>
          <w:sz w:val="32"/>
          <w:szCs w:val="32"/>
          <w:lang w:eastAsia="zh-CN"/>
        </w:rPr>
        <w:t>反映科学技术方面的支出。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第一批省级科技计划项目资金（典型污染介质污染源识别自动化分析技术研究）</w:t>
      </w:r>
      <w:r>
        <w:rPr>
          <w:rFonts w:hint="eastAsia" w:ascii="仿宋_GB2312" w:eastAsia="仿宋_GB2312"/>
          <w:color w:val="000000"/>
          <w:sz w:val="32"/>
          <w:szCs w:val="32"/>
        </w:rPr>
        <w:t>。</w:t>
      </w:r>
    </w:p>
    <w:p>
      <w:pPr>
        <w:spacing w:line="240" w:lineRule="auto"/>
        <w:ind w:firstLine="640" w:firstLineChars="200"/>
        <w:rPr>
          <w:rFonts w:hint="eastAsia" w:ascii="仿宋_GB2312" w:eastAsia="仿宋_GB2312"/>
          <w:bCs w:val="0"/>
          <w:color w:val="000000"/>
          <w:sz w:val="32"/>
          <w:szCs w:val="32"/>
        </w:rPr>
      </w:pPr>
      <w:r>
        <w:rPr>
          <w:rFonts w:hint="eastAsia" w:ascii="仿宋_GB2312" w:eastAsia="仿宋_GB2312"/>
          <w:bCs w:val="0"/>
          <w:color w:val="000000"/>
          <w:sz w:val="32"/>
          <w:szCs w:val="32"/>
          <w:lang w:eastAsia="zh-CN"/>
        </w:rPr>
        <w:t>7、</w:t>
      </w:r>
      <w:r>
        <w:rPr>
          <w:rFonts w:hint="eastAsia" w:ascii="仿宋_GB2312" w:eastAsia="仿宋_GB2312"/>
          <w:bCs w:val="0"/>
          <w:color w:val="000000"/>
          <w:sz w:val="32"/>
          <w:szCs w:val="32"/>
        </w:rPr>
        <w:t>社会保障和就业支出（类）行政事业单位养老支出（款）事业单位离退休（项）：指用于局属事业单位离休人员工资及生活补贴。</w:t>
      </w:r>
    </w:p>
    <w:p>
      <w:pPr>
        <w:spacing w:line="240" w:lineRule="auto"/>
        <w:ind w:firstLine="640" w:firstLineChars="200"/>
        <w:rPr>
          <w:rFonts w:hint="eastAsia" w:ascii="仿宋_GB2312" w:eastAsia="仿宋_GB2312"/>
          <w:bCs w:val="0"/>
          <w:color w:val="000000"/>
          <w:sz w:val="32"/>
          <w:szCs w:val="32"/>
        </w:rPr>
      </w:pPr>
      <w:r>
        <w:rPr>
          <w:rFonts w:hint="eastAsia" w:ascii="仿宋_GB2312" w:eastAsia="仿宋_GB2312"/>
          <w:bCs w:val="0"/>
          <w:color w:val="000000"/>
          <w:sz w:val="32"/>
          <w:szCs w:val="32"/>
          <w:lang w:val="en-US" w:eastAsia="zh-CN"/>
        </w:rPr>
        <w:t>8、</w:t>
      </w:r>
      <w:r>
        <w:rPr>
          <w:rFonts w:hint="eastAsia" w:ascii="仿宋_GB2312" w:eastAsia="仿宋_GB2312"/>
          <w:bCs w:val="0"/>
          <w:color w:val="000000"/>
          <w:sz w:val="32"/>
          <w:szCs w:val="32"/>
        </w:rPr>
        <w:t>社会保障和就业（类）行政事业单位养老支出（款）机关事业单位基本养老保险缴费支出（项）：指部门实施养老保险制度由单位缴纳的养老保险费的支出。</w:t>
      </w:r>
      <w:r>
        <w:rPr>
          <w:rFonts w:hint="eastAsia" w:ascii="仿宋_GB2312" w:eastAsia="仿宋_GB2312"/>
          <w:bCs w:val="0"/>
          <w:color w:val="000000"/>
          <w:sz w:val="32"/>
          <w:szCs w:val="32"/>
        </w:rPr>
        <w:br w:type="textWrapping"/>
      </w:r>
      <w:r>
        <w:rPr>
          <w:rFonts w:hint="eastAsia" w:ascii="仿宋_GB2312" w:eastAsia="仿宋_GB2312"/>
          <w:bCs w:val="0"/>
          <w:color w:val="000000"/>
          <w:sz w:val="32"/>
          <w:szCs w:val="32"/>
        </w:rPr>
        <w:t>　　</w:t>
      </w:r>
      <w:r>
        <w:rPr>
          <w:rFonts w:hint="eastAsia" w:ascii="仿宋_GB2312" w:eastAsia="仿宋_GB2312"/>
          <w:bCs w:val="0"/>
          <w:color w:val="000000"/>
          <w:sz w:val="32"/>
          <w:szCs w:val="32"/>
          <w:lang w:eastAsia="zh-CN"/>
        </w:rPr>
        <w:t>9、</w:t>
      </w:r>
      <w:r>
        <w:rPr>
          <w:rFonts w:hint="eastAsia" w:ascii="仿宋_GB2312" w:eastAsia="仿宋_GB2312"/>
          <w:bCs w:val="0"/>
          <w:color w:val="000000"/>
          <w:sz w:val="32"/>
          <w:szCs w:val="32"/>
        </w:rPr>
        <w:t>社会保障和就业（类）行政事业单位养老支出（款）机关事业单位职业年金缴费支出（项）：指部门实施养老保险制度由单位缴纳的职业年金的支出。</w:t>
      </w:r>
    </w:p>
    <w:p>
      <w:pPr>
        <w:ind w:firstLine="640" w:firstLineChars="200"/>
        <w:rPr>
          <w:rFonts w:hint="eastAsia" w:ascii="仿宋_GB2312" w:eastAsia="仿宋_GB2312"/>
          <w:color w:val="000000"/>
          <w:sz w:val="32"/>
          <w:szCs w:val="32"/>
        </w:rPr>
      </w:pPr>
      <w:r>
        <w:rPr>
          <w:rFonts w:hint="eastAsia" w:ascii="仿宋_GB2312" w:eastAsia="仿宋_GB2312"/>
          <w:bCs w:val="0"/>
          <w:color w:val="000000"/>
          <w:sz w:val="32"/>
          <w:szCs w:val="32"/>
          <w:lang w:val="en-US" w:eastAsia="zh-CN"/>
        </w:rPr>
        <w:t>10、</w:t>
      </w:r>
      <w:r>
        <w:rPr>
          <w:rFonts w:hint="eastAsia" w:ascii="仿宋_GB2312" w:eastAsia="仿宋_GB2312"/>
          <w:bCs w:val="0"/>
          <w:color w:val="000000"/>
          <w:sz w:val="32"/>
          <w:szCs w:val="32"/>
        </w:rPr>
        <w:t>社会保障和就业支出（类）抚恤（款）死亡抚恤（项）：指用于局属事业单位职工死亡抚恤金。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社会保障和就业（类）其他社会保障和就业支出（款）其他社会保障和就业支出（项）：指用于行政事业单位离退休其他方面的支出（6.30人员特殊困难补助）。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卫生健康支出（类）行政事业单位医疗（款）事业单位医疗（项）：指局机关及所属事业单位用于缴纳单位基本医疗保险支出。</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节能环保</w:t>
      </w:r>
      <w:r>
        <w:rPr>
          <w:rFonts w:hint="eastAsia" w:ascii="仿宋_GB2312" w:eastAsia="仿宋_GB2312"/>
          <w:color w:val="000000"/>
          <w:sz w:val="32"/>
          <w:szCs w:val="32"/>
          <w:lang w:eastAsia="zh-CN"/>
        </w:rPr>
        <w:t>支出，是只污染防治，在治理大气、水体、噪声、固体废弃物、放射性物质等方面的支出。</w:t>
      </w:r>
    </w:p>
    <w:p>
      <w:pPr>
        <w:spacing w:line="600" w:lineRule="exact"/>
        <w:ind w:firstLine="640" w:firstLineChars="200"/>
        <w:rPr>
          <w:rFonts w:eastAsia="方正仿宋简体"/>
          <w:bCs/>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住房保障（类）住房改革支出（款）住房公积金（项）：指用于行政事业单位按规定为在职职工缴纳的住房公积金。</w:t>
      </w:r>
    </w:p>
    <w:p>
      <w:pPr>
        <w:ind w:firstLine="640" w:firstLineChars="200"/>
        <w:rPr>
          <w:rFonts w:hint="eastAsia" w:ascii="仿宋_GB2312" w:hAnsi="Calibri" w:eastAsia="仿宋_GB2312" w:cs="仿宋"/>
          <w:color w:val="000000"/>
          <w:kern w:val="0"/>
          <w:sz w:val="32"/>
          <w:szCs w:val="32"/>
          <w:lang w:val="en-US" w:eastAsia="zh-CN" w:bidi="ar-SA"/>
        </w:rPr>
      </w:pPr>
      <w:r>
        <w:rPr>
          <w:rFonts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hAnsi="Calibri" w:eastAsia="仿宋_GB2312" w:cs="仿宋"/>
          <w:color w:val="000000"/>
          <w:kern w:val="0"/>
          <w:sz w:val="32"/>
          <w:szCs w:val="32"/>
          <w:lang w:val="en-US" w:eastAsia="zh-CN" w:bidi="ar-SA"/>
        </w:rPr>
        <w:t>资源勘探信息等支出（类）资源勘探开发（款）其他资源勘探业支出（项）：指局所属事业单位用于保障机构正常运行、开展日常工作的基本支出。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spacing w:line="600" w:lineRule="exact"/>
        <w:jc w:val="center"/>
        <w:outlineLvl w:val="0"/>
        <w:rPr>
          <w:rStyle w:val="25"/>
          <w:rFonts w:ascii="黑体" w:hAnsi="黑体" w:eastAsia="黑体"/>
          <w:b w:val="0"/>
        </w:rPr>
      </w:pPr>
      <w:bookmarkStart w:id="107" w:name="_Toc15377226"/>
      <w:r>
        <w:rPr>
          <w:rFonts w:ascii="宋体"/>
          <w:b/>
          <w:color w:val="000000"/>
          <w:sz w:val="44"/>
          <w:szCs w:val="44"/>
        </w:rPr>
        <w:br w:type="page"/>
      </w:r>
      <w:bookmarkStart w:id="108" w:name="_Toc15396614"/>
      <w:bookmarkStart w:id="109" w:name="_Toc26782"/>
      <w:bookmarkStart w:id="110" w:name="_Toc11376"/>
      <w:bookmarkStart w:id="111" w:name="_Toc12729"/>
      <w:bookmarkStart w:id="112" w:name="_Toc20334"/>
      <w:r>
        <w:rPr>
          <w:rFonts w:hint="eastAsia" w:ascii="黑体" w:hAnsi="黑体" w:eastAsia="黑体"/>
          <w:color w:val="000000"/>
          <w:sz w:val="44"/>
          <w:szCs w:val="44"/>
        </w:rPr>
        <w:t>第</w:t>
      </w:r>
      <w:r>
        <w:rPr>
          <w:rStyle w:val="25"/>
          <w:rFonts w:hint="eastAsia" w:ascii="黑体" w:hAnsi="黑体" w:eastAsia="黑体"/>
          <w:b w:val="0"/>
        </w:rPr>
        <w:t>四部分 附件</w:t>
      </w:r>
      <w:bookmarkEnd w:id="108"/>
      <w:bookmarkEnd w:id="109"/>
      <w:bookmarkEnd w:id="110"/>
      <w:bookmarkEnd w:id="111"/>
      <w:bookmarkEnd w:id="112"/>
    </w:p>
    <w:p>
      <w:pPr>
        <w:spacing w:line="58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auto"/>
          <w:kern w:val="0"/>
          <w:sz w:val="44"/>
          <w:szCs w:val="44"/>
          <w:lang w:val="zh-CN" w:eastAsia="zh-CN" w:bidi="ar-SA"/>
        </w:rPr>
      </w:pPr>
      <w:r>
        <w:rPr>
          <w:rFonts w:hint="eastAsia" w:ascii="方正小标宋简体" w:hAnsi="宋体" w:eastAsia="方正小标宋简体" w:cs="Times New Roman"/>
          <w:color w:val="auto"/>
          <w:kern w:val="0"/>
          <w:sz w:val="44"/>
          <w:szCs w:val="44"/>
          <w:lang w:val="zh-CN" w:eastAsia="zh-CN" w:bidi="ar-SA"/>
        </w:rPr>
        <w:t>2020年四川省重点行业企业用地调查采样项目支出绩效自评报告</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_GB2312" w:hAnsi="宋体" w:eastAsia="仿宋_GB2312" w:cs="Times New Roman"/>
          <w:color w:val="auto"/>
          <w:kern w:val="2"/>
          <w:sz w:val="32"/>
          <w:szCs w:val="32"/>
          <w:lang w:val="zh-CN" w:eastAsia="zh-CN" w:bidi="ar-SA"/>
        </w:rPr>
      </w:pPr>
      <w:r>
        <w:rPr>
          <w:rFonts w:hint="eastAsia" w:ascii="仿宋_GB2312" w:hAnsi="宋体" w:eastAsia="仿宋_GB2312" w:cs="Times New Roman"/>
          <w:color w:val="auto"/>
          <w:kern w:val="2"/>
          <w:sz w:val="32"/>
          <w:szCs w:val="32"/>
          <w:lang w:val="zh-CN" w:eastAsia="zh-CN" w:bidi="ar-SA"/>
        </w:rPr>
        <w:t>（项目单位自评）</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lang w:val="zh-CN" w:eastAsia="zh-CN" w:bidi="ar-SA"/>
        </w:rPr>
      </w:pPr>
    </w:p>
    <w:p>
      <w:pPr>
        <w:numPr>
          <w:ilvl w:val="0"/>
          <w:numId w:val="6"/>
        </w:numPr>
        <w:tabs>
          <w:tab w:val="left" w:pos="3885"/>
        </w:tabs>
        <w:snapToGrid w:val="0"/>
        <w:spacing w:line="600" w:lineRule="exact"/>
        <w:ind w:firstLine="562" w:firstLineChars="200"/>
        <w:jc w:val="left"/>
        <w:rPr>
          <w:rFonts w:ascii="黑体" w:hAnsi="宋体" w:eastAsia="黑体"/>
          <w:b/>
          <w:bCs/>
          <w:sz w:val="28"/>
          <w:szCs w:val="22"/>
        </w:rPr>
      </w:pPr>
      <w:bookmarkStart w:id="113" w:name="_Toc15396618"/>
      <w:r>
        <w:rPr>
          <w:rFonts w:hint="eastAsia" w:ascii="黑体" w:hAnsi="宋体" w:eastAsia="黑体"/>
          <w:b/>
          <w:bCs/>
          <w:sz w:val="28"/>
          <w:szCs w:val="22"/>
        </w:rPr>
        <w:t>基本情况</w:t>
      </w:r>
    </w:p>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项目概况</w:t>
      </w:r>
    </w:p>
    <w:p>
      <w:pPr>
        <w:pStyle w:val="2"/>
        <w:ind w:firstLine="560"/>
        <w:rPr>
          <w:lang w:val="zh-CN"/>
        </w:rPr>
      </w:pPr>
      <w:r>
        <w:rPr>
          <w:rFonts w:hint="eastAsia"/>
        </w:rPr>
        <w:t>四川省</w:t>
      </w:r>
      <w:r>
        <w:rPr>
          <w:rFonts w:hint="eastAsia"/>
          <w:lang w:val="zh-CN"/>
        </w:rPr>
        <w:t>重点行业企业用地调查</w:t>
      </w:r>
      <w:r>
        <w:rPr>
          <w:rFonts w:hint="eastAsia"/>
        </w:rPr>
        <w:t>采样</w:t>
      </w:r>
      <w:r>
        <w:rPr>
          <w:rFonts w:hint="eastAsia"/>
          <w:lang w:val="zh-CN"/>
        </w:rPr>
        <w:t>项目是我国首次大范围、全覆盖进行重点行业企业用地调查工作，也是国家实施生态文明建设、绿水青山就是金山银山发展理念的重点项目。</w:t>
      </w:r>
    </w:p>
    <w:p>
      <w:pPr>
        <w:pStyle w:val="2"/>
        <w:ind w:firstLine="560"/>
        <w:rPr>
          <w:lang w:val="zh-CN"/>
        </w:rPr>
      </w:pPr>
      <w:r>
        <w:rPr>
          <w:rFonts w:hint="eastAsia"/>
          <w:lang w:val="zh-CN"/>
        </w:rPr>
        <w:t>四川省地质工程勘察院集团有限公司承担</w:t>
      </w:r>
      <w:r>
        <w:rPr>
          <w:rFonts w:hint="eastAsia"/>
        </w:rPr>
        <w:t>了</w:t>
      </w:r>
      <w:r>
        <w:rPr>
          <w:rFonts w:hint="eastAsia"/>
          <w:lang w:val="zh-CN"/>
        </w:rPr>
        <w:t>9个市（州）共383个地块、2个区域土壤背景点、14个化工园样品采集及承担区域内土壤样品的粗制工作。</w:t>
      </w:r>
    </w:p>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项目实施情况</w:t>
      </w:r>
    </w:p>
    <w:p>
      <w:pPr>
        <w:pStyle w:val="2"/>
        <w:ind w:firstLine="560"/>
      </w:pPr>
      <w:r>
        <w:rPr>
          <w:rFonts w:hint="eastAsia"/>
        </w:rPr>
        <w:t>2019年底，四川省启动了重点行业企业用地土壤污染状况详查工作，并要求于2020年年底前掌握全省重点行业企业用地中污染地块的分布及其环境风险情况。</w:t>
      </w:r>
    </w:p>
    <w:p>
      <w:pPr>
        <w:rPr>
          <w:sz w:val="28"/>
          <w:szCs w:val="22"/>
          <w:lang w:val="zh-CN"/>
        </w:rPr>
      </w:pPr>
      <w:r>
        <w:rPr>
          <w:rFonts w:hint="eastAsia"/>
        </w:rPr>
        <w:t xml:space="preserve">  </w:t>
      </w:r>
      <w:r>
        <w:rPr>
          <w:rFonts w:hint="eastAsia" w:ascii="仿宋_GB2312" w:hAnsi="Times New Roman" w:eastAsia="仿宋_GB2312" w:cs="Times New Roman"/>
          <w:kern w:val="0"/>
          <w:sz w:val="30"/>
          <w:szCs w:val="24"/>
          <w:lang w:val="en-US" w:eastAsia="zh-CN" w:bidi="ar-SA"/>
        </w:rPr>
        <w:t xml:space="preserve">  </w:t>
      </w:r>
      <w:r>
        <w:rPr>
          <w:rFonts w:hint="eastAsia" w:ascii="仿宋_GB2312" w:hAnsi="Times New Roman" w:eastAsia="仿宋_GB2312" w:cs="Times New Roman"/>
          <w:kern w:val="0"/>
          <w:sz w:val="30"/>
          <w:szCs w:val="24"/>
          <w:lang w:val="zh-CN" w:eastAsia="zh-CN" w:bidi="ar-SA"/>
        </w:rPr>
        <w:t xml:space="preserve"> </w:t>
      </w:r>
      <w:bookmarkStart w:id="114" w:name="_Hlk75348294"/>
      <w:r>
        <w:rPr>
          <w:rFonts w:hint="eastAsia" w:ascii="仿宋_GB2312" w:hAnsi="Times New Roman" w:eastAsia="仿宋_GB2312" w:cs="Times New Roman"/>
          <w:kern w:val="0"/>
          <w:sz w:val="30"/>
          <w:szCs w:val="24"/>
          <w:lang w:val="zh-CN" w:eastAsia="zh-CN" w:bidi="ar-SA"/>
        </w:rPr>
        <w:t>按照四川省生态环境厅的统一安排，四川省企业用地调查工作的采样工作于2019年12月完成资金申报，我单位根据项目下达任务，依据《工程勘察设计标准》（2002年修订本）、川价函[2007]6号四川省环境监测收费标准编制了四川省重点行业企业用地调查采样预算书。</w:t>
      </w:r>
    </w:p>
    <w:bookmarkEnd w:id="114"/>
    <w:p>
      <w:pPr>
        <w:pStyle w:val="2"/>
        <w:ind w:firstLine="560"/>
      </w:pPr>
      <w:r>
        <w:rPr>
          <w:rFonts w:hint="eastAsia"/>
        </w:rPr>
        <w:t>为进一步贯彻国家、省级的重点行业企业用地调查技术规定，进一步贯彻落实《四川省重点行业企业用地初步采样调查实施方案》，规范重点行业企业用地调查项目采样、样品流转、收样、粗制样、质控等环节的具体工作，2019年，我单位编制了《四川省重点行业企业用地调查采样实施方案》及《四川省重点行业企业用地调查采样质量控制方案》并在全流程中严格执行。方案中对人员安排、仪器配置、物资耗材管理、项目开展流程、质量控制方式等方面进行了充分的描述，并于2020年1月在国家试点地块中，进一步规范了技术人员的实际采样操作。</w:t>
      </w:r>
    </w:p>
    <w:p>
      <w:pPr>
        <w:pStyle w:val="2"/>
        <w:ind w:firstLine="560"/>
      </w:pPr>
      <w:r>
        <w:rPr>
          <w:rFonts w:hint="eastAsia"/>
        </w:rPr>
        <w:t>2019年1</w:t>
      </w:r>
      <w:r>
        <w:t>0</w:t>
      </w:r>
      <w:r>
        <w:rPr>
          <w:rFonts w:hint="eastAsia"/>
        </w:rPr>
        <w:t>月，我单位正式启动采样工作，项目组成员严格按照既定方案开展工作，坚持财政资金专款专用，以优质高效完成采样工作为目标，明确分工、倒排工期，于</w:t>
      </w:r>
      <w:r>
        <w:t>8</w:t>
      </w:r>
      <w:r>
        <w:rPr>
          <w:rFonts w:hint="eastAsia"/>
        </w:rPr>
        <w:t>月</w:t>
      </w:r>
      <w:r>
        <w:t>23</w:t>
      </w:r>
      <w:r>
        <w:rPr>
          <w:rFonts w:hint="eastAsia"/>
        </w:rPr>
        <w:t>日优质高效完成了野外采样任务。</w:t>
      </w:r>
    </w:p>
    <w:p>
      <w:pPr>
        <w:numPr>
          <w:ilvl w:val="0"/>
          <w:numId w:val="7"/>
        </w:numPr>
        <w:adjustRightInd w:val="0"/>
        <w:snapToGrid w:val="0"/>
        <w:spacing w:line="580" w:lineRule="exact"/>
        <w:ind w:firstLine="720"/>
      </w:pPr>
      <w:r>
        <w:rPr>
          <w:rFonts w:hint="eastAsia" w:ascii="楷体_GB2312" w:hAnsi="宋体" w:eastAsia="楷体_GB2312"/>
          <w:b/>
          <w:sz w:val="28"/>
          <w:szCs w:val="36"/>
        </w:rPr>
        <w:t>资金投入使用情况</w:t>
      </w:r>
    </w:p>
    <w:p>
      <w:pPr>
        <w:pStyle w:val="2"/>
        <w:ind w:firstLine="560"/>
        <w:rPr>
          <w:rFonts w:hint="eastAsia" w:ascii="仿宋_GB2312" w:hAnsi="Calibri" w:eastAsia="仿宋_GB2312" w:cs="仿宋"/>
          <w:color w:val="000000"/>
          <w:kern w:val="0"/>
          <w:sz w:val="32"/>
          <w:szCs w:val="32"/>
          <w:lang w:val="en-US" w:eastAsia="zh-CN" w:bidi="ar-SA"/>
        </w:rPr>
      </w:pPr>
      <w:bookmarkStart w:id="115" w:name="_Hlk75348660"/>
      <w:r>
        <w:rPr>
          <w:rFonts w:hint="eastAsia" w:ascii="仿宋_GB2312" w:hAnsi="Calibri" w:eastAsia="仿宋_GB2312" w:cs="仿宋"/>
          <w:color w:val="000000"/>
          <w:kern w:val="0"/>
          <w:sz w:val="32"/>
          <w:szCs w:val="32"/>
          <w:lang w:val="en-US" w:eastAsia="zh-CN" w:bidi="ar-SA"/>
        </w:rPr>
        <w:t xml:space="preserve"> 根据《四川省财政厅关于2020年省级生态环境保护专项资金（第三批）支出预算的通知》（川财资环〔2020〕43号），我单位2020年收到省财政厅拨付“四川省重点行业企业用地调查采样项目”专项资金1,299.00万元，专项资金到位及时。</w:t>
      </w:r>
    </w:p>
    <w:bookmarkEnd w:id="115"/>
    <w:p>
      <w:pPr>
        <w:pStyle w:val="2"/>
        <w:ind w:firstLine="560"/>
        <w:rPr>
          <w:rFonts w:hint="eastAsia"/>
        </w:rPr>
      </w:pPr>
      <w:r>
        <w:rPr>
          <w:rFonts w:hint="eastAsia" w:ascii="仿宋_GB2312" w:hAnsi="Calibri" w:eastAsia="仿宋_GB2312" w:cs="仿宋"/>
          <w:color w:val="000000"/>
          <w:kern w:val="0"/>
          <w:sz w:val="32"/>
          <w:szCs w:val="32"/>
          <w:lang w:val="en-US" w:eastAsia="zh-CN" w:bidi="ar-SA"/>
        </w:rPr>
        <w:t>截止2020年9月，使用资金1299.00万元，其中人员费681.75万元，交通费38.25万元，差旅费34.07万元，咨询劳务费463.61万元，专用材料和燃料费28.04万元，设备使用费47.18万元，印刷费1.87万元，办公费1.08万元，邮电费0.01万元，其他费用2.78万元。</w:t>
      </w:r>
      <w:bookmarkStart w:id="116" w:name="_Hlk75348766"/>
      <w:r>
        <w:rPr>
          <w:rFonts w:hint="eastAsia" w:ascii="仿宋_GB2312" w:hAnsi="Calibri" w:eastAsia="仿宋_GB2312" w:cs="仿宋"/>
          <w:color w:val="000000"/>
          <w:kern w:val="0"/>
          <w:sz w:val="32"/>
          <w:szCs w:val="32"/>
          <w:lang w:val="en-US" w:eastAsia="zh-CN" w:bidi="ar-SA"/>
        </w:rPr>
        <w:t>专项资金执行率为100%。</w:t>
      </w:r>
      <w:bookmarkEnd w:id="116"/>
    </w:p>
    <w:p>
      <w:pPr>
        <w:numPr>
          <w:ilvl w:val="0"/>
          <w:numId w:val="7"/>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项目绩效目标</w:t>
      </w:r>
    </w:p>
    <w:p>
      <w:pPr>
        <w:pStyle w:val="2"/>
        <w:ind w:firstLine="560"/>
      </w:pPr>
      <w:r>
        <w:rPr>
          <w:rFonts w:hint="eastAsia"/>
        </w:rPr>
        <w:t>项目共完成了四川省</w:t>
      </w:r>
      <w:r>
        <w:rPr>
          <w:lang w:val="zh-CN"/>
        </w:rPr>
        <w:t>9个市（州）共383个地块、2个区域土壤背景点、14个化工园样品采集及承担区域内土壤样品的粗制工作</w:t>
      </w:r>
      <w:r>
        <w:rPr>
          <w:rFonts w:hint="eastAsia"/>
          <w:lang w:val="zh-CN"/>
        </w:rPr>
        <w:t>，项目数量指标、质量指标、经济指标、社会效益等指标均达到预期目标。</w:t>
      </w:r>
    </w:p>
    <w:p>
      <w:pPr>
        <w:pStyle w:val="2"/>
        <w:snapToGrid w:val="0"/>
        <w:spacing w:line="600" w:lineRule="exact"/>
        <w:ind w:firstLine="562"/>
        <w:rPr>
          <w:rFonts w:ascii="宋体" w:hAnsi="宋体"/>
          <w:b/>
          <w:bCs/>
        </w:rPr>
      </w:pPr>
      <w:r>
        <w:rPr>
          <w:rFonts w:hint="eastAsia" w:ascii="黑体" w:hAnsi="黑体" w:eastAsia="黑体" w:cs="黑体"/>
          <w:b/>
          <w:bCs/>
        </w:rPr>
        <w:t>二、评价工作开展情况</w:t>
      </w:r>
    </w:p>
    <w:p>
      <w:pPr>
        <w:numPr>
          <w:ilvl w:val="0"/>
          <w:numId w:val="8"/>
        </w:numPr>
        <w:adjustRightInd w:val="0"/>
        <w:snapToGrid w:val="0"/>
        <w:spacing w:line="580" w:lineRule="exact"/>
        <w:ind w:firstLine="720"/>
        <w:rPr>
          <w:rFonts w:ascii="楷体_GB2312" w:hAnsi="宋体" w:eastAsia="楷体_GB2312"/>
          <w:b/>
          <w:sz w:val="28"/>
          <w:szCs w:val="36"/>
        </w:rPr>
      </w:pPr>
      <w:bookmarkStart w:id="117" w:name="_Hlk75349613"/>
      <w:r>
        <w:rPr>
          <w:rFonts w:hint="eastAsia" w:ascii="楷体_GB2312" w:hAnsi="宋体" w:eastAsia="楷体_GB2312"/>
          <w:b/>
          <w:sz w:val="28"/>
          <w:szCs w:val="36"/>
        </w:rPr>
        <w:t>组织情况</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根据财政部门的相关要求，我单位高度重视，结合绩效管理系统评分表设置的评价指标体系，运用一定的量化指标及评价标准，由项目经理组织相关人员认真组织本项目支出绩效自评，对单位所确定的绩效目标的实现程度、预算的执行结果进行综合性评价。</w:t>
      </w:r>
    </w:p>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指标体系</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绩效评价指标主要包括通用指标、共性指标、特性指标3个一级指标。</w:t>
      </w:r>
    </w:p>
    <w:p>
      <w:pPr>
        <w:pStyle w:val="2"/>
        <w:numPr>
          <w:ilvl w:val="0"/>
          <w:numId w:val="0"/>
        </w:numPr>
        <w:ind w:firstLine="640" w:firstLineChars="0"/>
        <w:rPr>
          <w:rFonts w:hint="eastAsia" w:ascii="仿宋_GB2312" w:hAnsi="Calibri" w:eastAsia="仿宋_GB2312" w:cs="仿宋"/>
          <w:color w:val="000000"/>
          <w:kern w:val="0"/>
          <w:sz w:val="32"/>
          <w:szCs w:val="32"/>
          <w:lang w:val="en-US" w:eastAsia="zh-CN" w:bidi="ar-SA"/>
        </w:rPr>
      </w:pPr>
      <w:bookmarkStart w:id="118" w:name="_Hlk75352124"/>
      <w:r>
        <w:rPr>
          <w:rFonts w:hint="eastAsia" w:ascii="仿宋_GB2312" w:hAnsi="Calibri" w:eastAsia="仿宋_GB2312" w:cs="仿宋"/>
          <w:color w:val="000000"/>
          <w:kern w:val="0"/>
          <w:sz w:val="32"/>
          <w:szCs w:val="32"/>
          <w:lang w:val="en-US" w:eastAsia="zh-CN" w:bidi="ar-SA"/>
        </w:rPr>
        <w:t>绩效评价指标主要包括完成指标、效益指标、满意度指标3个一级指标。</w:t>
      </w:r>
    </w:p>
    <w:p>
      <w:pPr>
        <w:pStyle w:val="2"/>
        <w:numPr>
          <w:ilvl w:val="0"/>
          <w:numId w:val="0"/>
        </w:numPr>
        <w:ind w:firstLine="640" w:firstLineChars="0"/>
      </w:pPr>
      <w:r>
        <w:rPr>
          <w:rFonts w:hint="eastAsia" w:ascii="仿宋_GB2312" w:hAnsi="Calibri" w:eastAsia="仿宋_GB2312" w:cs="仿宋"/>
          <w:color w:val="000000"/>
          <w:kern w:val="0"/>
          <w:sz w:val="32"/>
          <w:szCs w:val="32"/>
          <w:lang w:val="en-US" w:eastAsia="zh-CN" w:bidi="ar-SA"/>
        </w:rPr>
        <w:t>完成指标下设：数量指标（完成重点行业企业用地调查土壤及地下水采样、制样分析、质控、数据上报等指标数量）、质量</w:t>
      </w:r>
      <w:r>
        <w:rPr>
          <w:rFonts w:hint="eastAsia"/>
        </w:rPr>
        <w:t>指标（调查数据通过国家质量审核）、时效指标（完成2</w:t>
      </w:r>
      <w:r>
        <w:t>020</w:t>
      </w:r>
      <w:r>
        <w:rPr>
          <w:rFonts w:hint="eastAsia"/>
        </w:rPr>
        <w:t>年度工作计划时间）、成本指标（项目实施未超出预算）</w:t>
      </w:r>
      <w:r>
        <w:t>4</w:t>
      </w:r>
      <w:r>
        <w:rPr>
          <w:rFonts w:hint="eastAsia"/>
        </w:rPr>
        <w:t>个二级指标（</w:t>
      </w:r>
      <w:r>
        <w:t>4</w:t>
      </w:r>
      <w:r>
        <w:rPr>
          <w:rFonts w:hint="eastAsia"/>
        </w:rPr>
        <w:t>个三级指标）。</w:t>
      </w:r>
    </w:p>
    <w:p>
      <w:pPr>
        <w:pStyle w:val="2"/>
        <w:numPr>
          <w:ilvl w:val="0"/>
          <w:numId w:val="0"/>
        </w:numPr>
        <w:ind w:firstLine="640" w:firstLineChars="0"/>
      </w:pPr>
      <w:r>
        <w:rPr>
          <w:rFonts w:hint="eastAsia"/>
        </w:rPr>
        <w:t>效益指标下设：经济效益指标（重点行业企业用地调查项目经济效益）、社会效益指标（污染地块安全利用率）生态效益指标（调查范围内土壤风险防患防控率）、可持续影响指标（掌握重点行业企业用地基本情况）</w:t>
      </w:r>
      <w:r>
        <w:t>4</w:t>
      </w:r>
      <w:r>
        <w:rPr>
          <w:rFonts w:hint="eastAsia"/>
        </w:rPr>
        <w:t>个二级指标（</w:t>
      </w:r>
      <w:r>
        <w:t>4</w:t>
      </w:r>
      <w:r>
        <w:rPr>
          <w:rFonts w:hint="eastAsia"/>
        </w:rPr>
        <w:t>个三级指标）。</w:t>
      </w:r>
    </w:p>
    <w:p>
      <w:pPr>
        <w:pStyle w:val="2"/>
        <w:numPr>
          <w:ilvl w:val="0"/>
          <w:numId w:val="0"/>
        </w:numPr>
        <w:ind w:firstLine="640" w:firstLineChars="0"/>
      </w:pPr>
      <w:r>
        <w:rPr>
          <w:rFonts w:hint="eastAsia"/>
        </w:rPr>
        <w:t>满意度指标下设：满意度指标（详查数据服务对象满意度）</w:t>
      </w:r>
      <w:r>
        <w:t>1</w:t>
      </w:r>
      <w:r>
        <w:rPr>
          <w:rFonts w:hint="eastAsia"/>
        </w:rPr>
        <w:t>个二级指标（</w:t>
      </w:r>
      <w:r>
        <w:t>1</w:t>
      </w:r>
      <w:r>
        <w:rPr>
          <w:rFonts w:hint="eastAsia"/>
        </w:rPr>
        <w:t>个三级指标）。</w:t>
      </w:r>
    </w:p>
    <w:bookmarkEnd w:id="118"/>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评价方法</w:t>
      </w:r>
    </w:p>
    <w:p>
      <w:pPr>
        <w:pStyle w:val="2"/>
        <w:ind w:firstLine="560"/>
        <w:rPr>
          <w:rFonts w:hint="eastAsia" w:ascii="仿宋_GB2312" w:hAnsi="Calibri" w:eastAsia="仿宋_GB2312" w:cs="仿宋"/>
          <w:color w:val="000000"/>
          <w:kern w:val="0"/>
          <w:sz w:val="32"/>
          <w:szCs w:val="32"/>
          <w:lang w:val="en-US" w:eastAsia="zh-CN" w:bidi="ar-SA"/>
        </w:rPr>
      </w:pPr>
      <w:bookmarkStart w:id="119" w:name="_Hlk75352209"/>
      <w:bookmarkStart w:id="120" w:name="_Hlk75352195"/>
      <w:r>
        <w:rPr>
          <w:rFonts w:hint="eastAsia" w:ascii="仿宋_GB2312" w:hAnsi="Calibri" w:eastAsia="仿宋_GB2312" w:cs="仿宋"/>
          <w:color w:val="000000"/>
          <w:kern w:val="0"/>
          <w:sz w:val="32"/>
          <w:szCs w:val="32"/>
          <w:lang w:val="en-US" w:eastAsia="zh-CN" w:bidi="ar-SA"/>
        </w:rPr>
        <w:t>预算单位自评价方法总体采用目标比较法，采取定性与定量评价相结合的方式，通过召开座谈会听取介绍、核对财务账目、检查档案资料等方式，主要采用目标评价法、询问查证法、公众评议法等方法，现场评价与资料评价相结合，对本项目支出绩效自评价中的总体目标和各项绩效指标逐项进行评价分析。</w:t>
      </w:r>
    </w:p>
    <w:bookmarkEnd w:id="119"/>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自评价得分总分根据自评价表设定的各项指标得分汇总形成。</w:t>
      </w:r>
      <w:bookmarkEnd w:id="120"/>
    </w:p>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评分标准</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本次绩效评价采用百分制，各级指标依据其指标权重确定分值，最终得分由各级评价指标得分加总形成。根据最终得分将评价标准分为四个等级：优（得分≥90分）；良（80分≤得分＜90分）；中（60≤得分＜80分）；差（得分＜60分）</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定性指标分析得分主要根据相关指标的完成情况，分为未达到年度指标值并且效果较差、部分达到实现年度指标值并具有一定效果、达到完成年度指标值三个档次，在此基础上，可按照该指标的对应分值区间，如0%-60%、60%（含）-80%、80%（含）-100%，合理计算确定指标分值。</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定量指标分析得分主要是通过各项指标实际完成值与年初指标值相比，如果是完成指标值的，就按该指标所赋的全部权重计算分值，同时对其完成值高于指标值较多的，还必须认真分析其原因，分析结果如发现是由于年初指标值设定明显偏低造成的，那么就要按照偏离程度进行适当调减分值；对于未完成指标值的，要按照完成值与指标值的完成比例相应计算记分。</w:t>
      </w:r>
    </w:p>
    <w:bookmarkEnd w:id="117"/>
    <w:p>
      <w:pPr>
        <w:pStyle w:val="24"/>
        <w:numPr>
          <w:ilvl w:val="0"/>
          <w:numId w:val="9"/>
        </w:numPr>
        <w:snapToGrid w:val="0"/>
        <w:spacing w:line="600" w:lineRule="exact"/>
        <w:ind w:firstLine="198" w:firstLineChars="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综合评价结论</w:t>
      </w:r>
    </w:p>
    <w:p>
      <w:pPr>
        <w:pStyle w:val="2"/>
        <w:ind w:firstLine="560"/>
        <w:rPr>
          <w:rFonts w:hint="eastAsia" w:ascii="仿宋_GB2312" w:hAnsi="Calibri" w:eastAsia="仿宋_GB2312" w:cs="仿宋"/>
          <w:color w:val="000000"/>
          <w:kern w:val="0"/>
          <w:sz w:val="32"/>
          <w:szCs w:val="32"/>
          <w:lang w:val="en-US" w:eastAsia="zh-CN" w:bidi="ar-SA"/>
        </w:rPr>
      </w:pPr>
      <w:bookmarkStart w:id="121" w:name="_Hlk75352318"/>
      <w:r>
        <w:rPr>
          <w:rFonts w:hint="eastAsia" w:ascii="仿宋_GB2312" w:hAnsi="Calibri" w:eastAsia="仿宋_GB2312" w:cs="仿宋"/>
          <w:color w:val="000000"/>
          <w:kern w:val="0"/>
          <w:sz w:val="32"/>
          <w:szCs w:val="32"/>
          <w:lang w:val="en-US" w:eastAsia="zh-CN" w:bidi="ar-SA"/>
        </w:rPr>
        <w:t>本项目综合评分为95分（见表1），评级为优。</w:t>
      </w:r>
    </w:p>
    <w:bookmarkEnd w:id="121"/>
    <w:p>
      <w:pPr>
        <w:pStyle w:val="2"/>
        <w:spacing w:line="600" w:lineRule="exact"/>
        <w:rPr>
          <w:rFonts w:hint="eastAsia" w:ascii="仿宋_GB2312" w:hAnsi="Calibri" w:eastAsia="仿宋_GB2312" w:cs="仿宋"/>
          <w:color w:val="000000"/>
          <w:kern w:val="0"/>
          <w:sz w:val="32"/>
          <w:szCs w:val="32"/>
          <w:lang w:val="en-US" w:eastAsia="zh-CN" w:bidi="ar-SA"/>
        </w:rPr>
        <w:sectPr>
          <w:footerReference r:id="rId4" w:type="default"/>
          <w:pgSz w:w="11906" w:h="16838"/>
          <w:pgMar w:top="1440" w:right="1800" w:bottom="1440" w:left="1800" w:header="851" w:footer="992" w:gutter="0"/>
          <w:pgNumType w:fmt="decimal" w:start="1"/>
          <w:cols w:space="425" w:num="1"/>
          <w:docGrid w:type="lines" w:linePitch="312" w:charSpace="0"/>
        </w:sectPr>
      </w:pPr>
    </w:p>
    <w:p>
      <w:pPr>
        <w:jc w:val="center"/>
      </w:pPr>
      <w:r>
        <w:rPr>
          <w:rFonts w:hint="eastAsia" w:ascii="黑体" w:hAnsi="宋体" w:eastAsia="黑体"/>
          <w:sz w:val="28"/>
          <w:szCs w:val="22"/>
        </w:rPr>
        <w:t>表1  评分表</w:t>
      </w:r>
    </w:p>
    <w:p>
      <w:pPr>
        <w:pStyle w:val="2"/>
        <w:spacing w:line="600" w:lineRule="exact"/>
        <w:rPr>
          <w:rFonts w:ascii="仿宋_GB2312" w:hAnsi="宋体"/>
          <w:sz w:val="32"/>
          <w:szCs w:val="32"/>
        </w:rPr>
      </w:pPr>
    </w:p>
    <w:tbl>
      <w:tblPr>
        <w:tblStyle w:val="13"/>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4253"/>
        <w:gridCol w:w="1276"/>
        <w:gridCol w:w="1559"/>
        <w:gridCol w:w="2864"/>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一级指标</w:t>
            </w:r>
          </w:p>
        </w:tc>
        <w:tc>
          <w:tcPr>
            <w:tcW w:w="2268"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二级指标</w:t>
            </w:r>
          </w:p>
        </w:tc>
        <w:tc>
          <w:tcPr>
            <w:tcW w:w="425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三级指标</w:t>
            </w:r>
          </w:p>
        </w:tc>
        <w:tc>
          <w:tcPr>
            <w:tcW w:w="127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指标分值</w:t>
            </w:r>
          </w:p>
        </w:tc>
        <w:tc>
          <w:tcPr>
            <w:tcW w:w="4423" w:type="dxa"/>
            <w:gridSpan w:val="2"/>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评分标准</w:t>
            </w:r>
          </w:p>
        </w:tc>
        <w:tc>
          <w:tcPr>
            <w:tcW w:w="940"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Merge w:val="continue"/>
            <w:vAlign w:val="center"/>
          </w:tcPr>
          <w:p>
            <w:pPr>
              <w:pStyle w:val="2"/>
              <w:spacing w:line="240" w:lineRule="auto"/>
              <w:ind w:firstLine="0" w:firstLineChars="0"/>
              <w:jc w:val="center"/>
              <w:rPr>
                <w:rFonts w:ascii="仿宋_GB2312" w:hAnsi="宋体"/>
                <w:b/>
                <w:bCs/>
                <w:sz w:val="24"/>
                <w:szCs w:val="24"/>
              </w:rPr>
            </w:pPr>
          </w:p>
        </w:tc>
        <w:tc>
          <w:tcPr>
            <w:tcW w:w="4253" w:type="dxa"/>
            <w:vMerge w:val="continue"/>
            <w:vAlign w:val="center"/>
          </w:tcPr>
          <w:p>
            <w:pPr>
              <w:pStyle w:val="2"/>
              <w:spacing w:line="240" w:lineRule="auto"/>
              <w:ind w:firstLine="0" w:firstLineChars="0"/>
              <w:jc w:val="center"/>
              <w:rPr>
                <w:rFonts w:ascii="仿宋_GB2312" w:hAnsi="宋体"/>
                <w:b/>
                <w:bCs/>
                <w:sz w:val="24"/>
                <w:szCs w:val="24"/>
              </w:rPr>
            </w:pPr>
          </w:p>
        </w:tc>
        <w:tc>
          <w:tcPr>
            <w:tcW w:w="1276" w:type="dxa"/>
            <w:vMerge w:val="continue"/>
            <w:vAlign w:val="center"/>
          </w:tcPr>
          <w:p>
            <w:pPr>
              <w:pStyle w:val="2"/>
              <w:spacing w:line="240" w:lineRule="auto"/>
              <w:ind w:firstLine="0" w:firstLineChars="0"/>
              <w:jc w:val="center"/>
              <w:rPr>
                <w:rFonts w:ascii="仿宋_GB2312" w:hAnsi="宋体"/>
                <w:b/>
                <w:bCs/>
                <w:sz w:val="24"/>
                <w:szCs w:val="24"/>
              </w:rPr>
            </w:pP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方法归类</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计算方式</w:t>
            </w:r>
          </w:p>
        </w:tc>
        <w:tc>
          <w:tcPr>
            <w:tcW w:w="940" w:type="dxa"/>
            <w:vMerge w:val="continue"/>
            <w:vAlign w:val="center"/>
          </w:tcPr>
          <w:p>
            <w:pPr>
              <w:pStyle w:val="2"/>
              <w:spacing w:line="240" w:lineRule="auto"/>
              <w:ind w:firstLine="0" w:firstLineChars="0"/>
              <w:jc w:val="center"/>
              <w:rPr>
                <w:rFonts w:ascii="仿宋_GB2312"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完成指标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数量指标</w:t>
            </w:r>
          </w:p>
        </w:tc>
        <w:tc>
          <w:tcPr>
            <w:tcW w:w="4253" w:type="dxa"/>
          </w:tcPr>
          <w:p>
            <w:pPr>
              <w:pStyle w:val="2"/>
              <w:spacing w:line="240" w:lineRule="auto"/>
              <w:ind w:firstLine="0" w:firstLineChars="0"/>
              <w:jc w:val="center"/>
              <w:rPr>
                <w:rFonts w:ascii="仿宋_GB2312" w:hAnsi="宋体"/>
                <w:b/>
                <w:bCs/>
                <w:sz w:val="24"/>
                <w:szCs w:val="24"/>
              </w:rPr>
            </w:pPr>
            <w:bookmarkStart w:id="122" w:name="_Hlk75351359"/>
            <w:r>
              <w:rPr>
                <w:rFonts w:hint="eastAsia"/>
              </w:rPr>
              <w:t>完成重点行业企业用地调查土壤及地下水采样、制样、工业园区采样等地块数量</w:t>
            </w:r>
            <w:bookmarkEnd w:id="122"/>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 w:val="24"/>
                <w:szCs w:val="24"/>
              </w:rPr>
              <w:t>比率分值法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指标得分=实际完成任务量/绩效目标设定任务量×100%*指标分值</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3" w:name="_Hlk75351379"/>
            <w:r>
              <w:rPr>
                <w:rFonts w:hint="eastAsia"/>
              </w:rPr>
              <w:t>质量指标</w:t>
            </w:r>
            <w:bookmarkEnd w:id="123"/>
          </w:p>
        </w:tc>
        <w:tc>
          <w:tcPr>
            <w:tcW w:w="4253" w:type="dxa"/>
          </w:tcPr>
          <w:p>
            <w:pPr>
              <w:pStyle w:val="2"/>
              <w:spacing w:line="240" w:lineRule="auto"/>
              <w:ind w:firstLine="0" w:firstLineChars="0"/>
              <w:jc w:val="center"/>
              <w:rPr>
                <w:rFonts w:ascii="仿宋_GB2312" w:hAnsi="宋体"/>
                <w:b/>
                <w:bCs/>
                <w:sz w:val="24"/>
                <w:szCs w:val="24"/>
              </w:rPr>
            </w:pPr>
            <w:bookmarkStart w:id="124" w:name="_Hlk75351387"/>
            <w:r>
              <w:rPr>
                <w:rFonts w:hint="eastAsia"/>
              </w:rPr>
              <w:t>调查数据通过国家质量审核</w:t>
            </w:r>
            <w:bookmarkEnd w:id="124"/>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20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5" w:name="_Hlk75351402"/>
            <w:r>
              <w:rPr>
                <w:rFonts w:hint="eastAsia"/>
              </w:rPr>
              <w:t>时效指标</w:t>
            </w:r>
            <w:bookmarkEnd w:id="125"/>
          </w:p>
        </w:tc>
        <w:tc>
          <w:tcPr>
            <w:tcW w:w="4253" w:type="dxa"/>
          </w:tcPr>
          <w:p>
            <w:pPr>
              <w:pStyle w:val="2"/>
              <w:spacing w:line="240" w:lineRule="auto"/>
              <w:ind w:firstLine="0" w:firstLineChars="0"/>
              <w:jc w:val="center"/>
              <w:rPr>
                <w:rFonts w:ascii="仿宋_GB2312" w:hAnsi="宋体"/>
                <w:b/>
                <w:bCs/>
                <w:sz w:val="24"/>
                <w:szCs w:val="24"/>
              </w:rPr>
            </w:pPr>
            <w:bookmarkStart w:id="126" w:name="_Hlk75351409"/>
            <w:r>
              <w:rPr>
                <w:rFonts w:hint="eastAsia"/>
              </w:rPr>
              <w:t>完成2</w:t>
            </w:r>
            <w:r>
              <w:t>020</w:t>
            </w:r>
            <w:r>
              <w:rPr>
                <w:rFonts w:hint="eastAsia"/>
              </w:rPr>
              <w:t>年度工作计划时间</w:t>
            </w:r>
            <w:bookmarkEnd w:id="126"/>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bookmarkStart w:id="127" w:name="_Hlk75351416"/>
            <w:r>
              <w:rPr>
                <w:rFonts w:hint="eastAsia"/>
              </w:rPr>
              <w:t>成本指标</w:t>
            </w:r>
            <w:bookmarkEnd w:id="127"/>
          </w:p>
        </w:tc>
        <w:tc>
          <w:tcPr>
            <w:tcW w:w="4253" w:type="dxa"/>
          </w:tcPr>
          <w:p>
            <w:pPr>
              <w:pStyle w:val="2"/>
              <w:spacing w:line="240" w:lineRule="auto"/>
              <w:ind w:firstLine="0" w:firstLineChars="0"/>
              <w:jc w:val="center"/>
            </w:pPr>
            <w:bookmarkStart w:id="128" w:name="_Hlk75351426"/>
            <w:r>
              <w:rPr>
                <w:rFonts w:hint="eastAsia"/>
              </w:rPr>
              <w:t>项目实施未超出预算</w:t>
            </w:r>
            <w:bookmarkEnd w:id="128"/>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效益指标</w:t>
            </w:r>
          </w:p>
        </w:tc>
        <w:tc>
          <w:tcPr>
            <w:tcW w:w="2268" w:type="dxa"/>
            <w:vAlign w:val="center"/>
          </w:tcPr>
          <w:p>
            <w:pPr>
              <w:pStyle w:val="2"/>
              <w:spacing w:line="240" w:lineRule="auto"/>
              <w:ind w:firstLine="0" w:firstLineChars="0"/>
              <w:jc w:val="center"/>
            </w:pPr>
            <w:r>
              <w:rPr>
                <w:rFonts w:hint="eastAsia"/>
              </w:rPr>
              <w:t>经济效益指标</w:t>
            </w:r>
          </w:p>
        </w:tc>
        <w:tc>
          <w:tcPr>
            <w:tcW w:w="4253" w:type="dxa"/>
          </w:tcPr>
          <w:p>
            <w:pPr>
              <w:pStyle w:val="2"/>
              <w:spacing w:line="240" w:lineRule="auto"/>
              <w:ind w:firstLine="0" w:firstLineChars="0"/>
              <w:jc w:val="center"/>
            </w:pPr>
          </w:p>
          <w:p>
            <w:pPr>
              <w:pStyle w:val="2"/>
              <w:spacing w:line="240" w:lineRule="auto"/>
              <w:ind w:firstLine="0" w:firstLineChars="0"/>
              <w:jc w:val="center"/>
            </w:pPr>
            <w:r>
              <w:rPr>
                <w:rFonts w:hint="eastAsia"/>
              </w:rPr>
              <w:t>资金使用率</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比率分值法</w:t>
            </w:r>
          </w:p>
        </w:tc>
        <w:tc>
          <w:tcPr>
            <w:tcW w:w="2864" w:type="dxa"/>
            <w:vAlign w:val="center"/>
          </w:tcPr>
          <w:p>
            <w:pPr>
              <w:pStyle w:val="2"/>
              <w:spacing w:line="240" w:lineRule="auto"/>
              <w:ind w:firstLine="0" w:firstLineChars="0"/>
              <w:jc w:val="center"/>
            </w:pPr>
            <w:r>
              <w:rPr>
                <w:rFonts w:hint="eastAsia"/>
              </w:rPr>
              <w:t>指标得分=资金实际使用金额/资金实际拨付金额×100%*指标分值</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1</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社会效益指标</w:t>
            </w:r>
          </w:p>
        </w:tc>
        <w:tc>
          <w:tcPr>
            <w:tcW w:w="4253" w:type="dxa"/>
            <w:vAlign w:val="center"/>
          </w:tcPr>
          <w:p>
            <w:pPr>
              <w:pStyle w:val="2"/>
              <w:spacing w:line="240" w:lineRule="auto"/>
              <w:ind w:firstLine="0" w:firstLineChars="0"/>
              <w:jc w:val="center"/>
            </w:pPr>
            <w:r>
              <w:rPr>
                <w:rFonts w:hint="eastAsia"/>
              </w:rPr>
              <w:t>污染地块安全利用率</w:t>
            </w:r>
          </w:p>
        </w:tc>
        <w:tc>
          <w:tcPr>
            <w:tcW w:w="1276" w:type="dxa"/>
            <w:vAlign w:val="center"/>
          </w:tcPr>
          <w:p>
            <w:pPr>
              <w:pStyle w:val="2"/>
              <w:spacing w:line="240" w:lineRule="auto"/>
              <w:ind w:firstLine="0" w:firstLineChars="0"/>
              <w:jc w:val="center"/>
            </w:pPr>
            <w:r>
              <w:rPr>
                <w:rFonts w:hint="eastAsia"/>
              </w:rPr>
              <w:t>5</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pPr>
            <w:r>
              <w:t>0-2</w:t>
            </w:r>
            <w:r>
              <w:rPr>
                <w:rFonts w:hint="eastAsia"/>
              </w:rPr>
              <w:t xml:space="preserve">-低 </w:t>
            </w:r>
            <w:r>
              <w:t>3-4</w:t>
            </w:r>
            <w:r>
              <w:rPr>
                <w:rFonts w:hint="eastAsia"/>
              </w:rPr>
              <w:t xml:space="preserve">-中 </w:t>
            </w:r>
            <w:r>
              <w:t>5</w:t>
            </w:r>
            <w:r>
              <w:rPr>
                <w:rFonts w:hint="eastAsia"/>
              </w:rPr>
              <w:t>-高</w:t>
            </w:r>
          </w:p>
        </w:tc>
        <w:tc>
          <w:tcPr>
            <w:tcW w:w="940"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生态效益指标</w:t>
            </w:r>
          </w:p>
        </w:tc>
        <w:tc>
          <w:tcPr>
            <w:tcW w:w="4253" w:type="dxa"/>
            <w:vAlign w:val="center"/>
          </w:tcPr>
          <w:p>
            <w:pPr>
              <w:pStyle w:val="2"/>
              <w:spacing w:line="240" w:lineRule="auto"/>
              <w:ind w:firstLine="0" w:firstLineChars="0"/>
              <w:jc w:val="center"/>
            </w:pPr>
            <w:r>
              <w:rPr>
                <w:rFonts w:hint="eastAsia"/>
              </w:rPr>
              <w:t>调查范围内土壤风险防患防控率</w:t>
            </w:r>
          </w:p>
        </w:tc>
        <w:tc>
          <w:tcPr>
            <w:tcW w:w="1276" w:type="dxa"/>
            <w:vAlign w:val="center"/>
          </w:tcPr>
          <w:p>
            <w:pPr>
              <w:pStyle w:val="2"/>
              <w:spacing w:line="240" w:lineRule="auto"/>
              <w:ind w:firstLine="0" w:firstLineChars="0"/>
              <w:jc w:val="center"/>
            </w:pPr>
            <w:r>
              <w:rPr>
                <w:rFonts w:hint="eastAsia"/>
              </w:rPr>
              <w:t>5</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pPr>
            <w:r>
              <w:t>0-2</w:t>
            </w:r>
            <w:r>
              <w:rPr>
                <w:rFonts w:hint="eastAsia"/>
              </w:rPr>
              <w:t xml:space="preserve">-低 </w:t>
            </w:r>
            <w:r>
              <w:t>3-4</w:t>
            </w:r>
            <w:r>
              <w:rPr>
                <w:rFonts w:hint="eastAsia"/>
              </w:rPr>
              <w:t xml:space="preserve">-中 </w:t>
            </w:r>
            <w:r>
              <w:t>5</w:t>
            </w:r>
            <w:r>
              <w:rPr>
                <w:rFonts w:hint="eastAsia"/>
              </w:rPr>
              <w:t>-高</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可持续影响指标</w:t>
            </w:r>
          </w:p>
        </w:tc>
        <w:tc>
          <w:tcPr>
            <w:tcW w:w="4253" w:type="dxa"/>
            <w:vAlign w:val="center"/>
          </w:tcPr>
          <w:p>
            <w:pPr>
              <w:pStyle w:val="2"/>
              <w:spacing w:line="240" w:lineRule="auto"/>
              <w:ind w:firstLine="0" w:firstLineChars="0"/>
              <w:jc w:val="center"/>
            </w:pPr>
            <w:r>
              <w:rPr>
                <w:rFonts w:hint="eastAsia"/>
              </w:rPr>
              <w:t>掌握重点行业企业用地基本情况</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2864" w:type="dxa"/>
            <w:vAlign w:val="center"/>
          </w:tcPr>
          <w:p>
            <w:pPr>
              <w:pStyle w:val="2"/>
              <w:spacing w:line="240" w:lineRule="auto"/>
              <w:ind w:firstLine="0" w:firstLineChars="0"/>
              <w:jc w:val="center"/>
            </w:pPr>
            <w:r>
              <w:rPr>
                <w:rFonts w:hint="eastAsia"/>
              </w:rPr>
              <w:t>0-否 1-是</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96"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4253" w:type="dxa"/>
            <w:vAlign w:val="center"/>
          </w:tcPr>
          <w:p>
            <w:pPr>
              <w:pStyle w:val="2"/>
              <w:spacing w:line="240" w:lineRule="auto"/>
              <w:ind w:firstLine="0" w:firstLineChars="0"/>
              <w:jc w:val="center"/>
              <w:rPr>
                <w:rFonts w:ascii="仿宋_GB2312" w:hAnsi="宋体"/>
                <w:b/>
                <w:bCs/>
                <w:sz w:val="24"/>
                <w:szCs w:val="24"/>
              </w:rPr>
            </w:pPr>
            <w:r>
              <w:rPr>
                <w:rFonts w:hint="eastAsia"/>
              </w:rPr>
              <w:t>详查数据服务对象满意度</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2864" w:type="dxa"/>
            <w:vAlign w:val="center"/>
          </w:tcPr>
          <w:p>
            <w:pPr>
              <w:pStyle w:val="2"/>
              <w:spacing w:line="240" w:lineRule="auto"/>
              <w:ind w:firstLine="0" w:firstLineChars="0"/>
              <w:jc w:val="center"/>
              <w:rPr>
                <w:rFonts w:ascii="仿宋_GB2312" w:hAnsi="宋体"/>
                <w:b/>
                <w:bCs/>
                <w:sz w:val="24"/>
                <w:szCs w:val="24"/>
              </w:rPr>
            </w:pPr>
            <w:r>
              <w:rPr>
                <w:rFonts w:ascii="仿宋_GB2312" w:hAnsi="宋体"/>
                <w:szCs w:val="24"/>
              </w:rPr>
              <w:t>1-4</w:t>
            </w:r>
            <w:r>
              <w:rPr>
                <w:rFonts w:hint="eastAsia" w:ascii="仿宋_GB2312" w:hAnsi="宋体"/>
                <w:szCs w:val="24"/>
              </w:rPr>
              <w:t xml:space="preserve">-不满意 </w:t>
            </w:r>
            <w:r>
              <w:rPr>
                <w:rFonts w:ascii="仿宋_GB2312" w:hAnsi="宋体"/>
                <w:szCs w:val="24"/>
              </w:rPr>
              <w:t>5-9</w:t>
            </w:r>
            <w:r>
              <w:rPr>
                <w:rFonts w:hint="eastAsia" w:ascii="仿宋_GB2312" w:hAnsi="宋体"/>
                <w:szCs w:val="24"/>
              </w:rPr>
              <w:t xml:space="preserve">-较满意 </w:t>
            </w:r>
            <w:r>
              <w:rPr>
                <w:rFonts w:ascii="仿宋_GB2312" w:hAnsi="宋体"/>
                <w:szCs w:val="24"/>
              </w:rPr>
              <w:t>10</w:t>
            </w:r>
            <w:r>
              <w:rPr>
                <w:rFonts w:hint="eastAsia" w:ascii="仿宋_GB2312" w:hAnsi="宋体"/>
                <w:szCs w:val="24"/>
              </w:rPr>
              <w:t>-满意</w:t>
            </w:r>
          </w:p>
        </w:tc>
        <w:tc>
          <w:tcPr>
            <w:tcW w:w="940"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8</w:t>
            </w:r>
          </w:p>
        </w:tc>
      </w:tr>
    </w:tbl>
    <w:p>
      <w:pPr>
        <w:spacing w:line="600" w:lineRule="exact"/>
        <w:rPr>
          <w:rFonts w:ascii="仿宋_GB2312" w:hAnsi="宋体"/>
          <w:sz w:val="32"/>
        </w:rPr>
        <w:sectPr>
          <w:pgSz w:w="16838" w:h="11906" w:orient="landscape"/>
          <w:pgMar w:top="1800" w:right="1440" w:bottom="1800" w:left="1440" w:header="851" w:footer="992" w:gutter="0"/>
          <w:pgNumType w:fmt="decimal"/>
          <w:cols w:space="425" w:num="1"/>
          <w:docGrid w:type="lines" w:linePitch="312" w:charSpace="0"/>
        </w:sectPr>
      </w:pPr>
    </w:p>
    <w:p>
      <w:pPr>
        <w:snapToGrid w:val="0"/>
        <w:spacing w:line="600" w:lineRule="exact"/>
        <w:ind w:firstLine="560" w:firstLineChars="200"/>
        <w:rPr>
          <w:rFonts w:ascii="黑体" w:hAnsi="黑体" w:eastAsia="黑体" w:cs="黑体"/>
          <w:bCs/>
          <w:sz w:val="28"/>
          <w:szCs w:val="22"/>
        </w:rPr>
      </w:pPr>
      <w:r>
        <w:rPr>
          <w:rFonts w:hint="eastAsia" w:ascii="黑体" w:hAnsi="黑体" w:eastAsia="黑体" w:cs="黑体"/>
          <w:bCs/>
          <w:sz w:val="28"/>
          <w:szCs w:val="22"/>
        </w:rPr>
        <w:t>四、绩效评价分析</w:t>
      </w:r>
    </w:p>
    <w:p>
      <w:pPr>
        <w:snapToGrid w:val="0"/>
        <w:spacing w:line="600" w:lineRule="exact"/>
        <w:ind w:firstLine="562" w:firstLineChars="200"/>
        <w:rPr>
          <w:rFonts w:ascii="楷体_GB2312" w:hAnsi="宋体" w:eastAsia="楷体_GB2312"/>
          <w:b/>
          <w:sz w:val="28"/>
          <w:szCs w:val="22"/>
        </w:rPr>
      </w:pPr>
      <w:bookmarkStart w:id="129" w:name="_Hlk75354332"/>
      <w:r>
        <w:rPr>
          <w:rFonts w:hint="eastAsia" w:ascii="楷体_GB2312" w:hAnsi="宋体" w:eastAsia="楷体_GB2312"/>
          <w:b/>
          <w:sz w:val="28"/>
          <w:szCs w:val="22"/>
        </w:rPr>
        <w:t>（一）项目决策情况</w:t>
      </w:r>
    </w:p>
    <w:bookmarkEnd w:id="129"/>
    <w:p>
      <w:pPr>
        <w:pStyle w:val="2"/>
        <w:ind w:firstLine="560"/>
        <w:rPr>
          <w:rFonts w:hint="eastAsia" w:ascii="仿宋_GB2312" w:hAnsi="Calibri" w:eastAsia="仿宋_GB2312" w:cs="仿宋"/>
          <w:color w:val="000000"/>
          <w:kern w:val="0"/>
          <w:sz w:val="32"/>
          <w:szCs w:val="32"/>
          <w:lang w:val="en-US" w:eastAsia="zh-CN" w:bidi="ar-SA"/>
        </w:rPr>
      </w:pPr>
      <w:bookmarkStart w:id="130" w:name="_Hlk75440025"/>
      <w:r>
        <w:rPr>
          <w:rFonts w:hint="eastAsia" w:ascii="仿宋_GB2312" w:hAnsi="Calibri" w:eastAsia="仿宋_GB2312" w:cs="仿宋"/>
          <w:color w:val="000000"/>
          <w:kern w:val="0"/>
          <w:sz w:val="32"/>
          <w:szCs w:val="32"/>
          <w:lang w:val="en-US" w:eastAsia="zh-CN" w:bidi="ar-SA"/>
        </w:rPr>
        <w:t>四川省重点行业企业用地调查是四川省土壤污染状况详查的重要组成部分，是土壤污染防治的基础性工作。开展重点行业企业用地调查，摸清企业用地土壤污染状况，对于建立污染地块清单和优先管控名录，推进建设用地准入管理，实施土壤污染分类别、分用途、分阶段治理，加强土壤环境污染防治和风险管控，维护公众健康，建立和完善我省土壤环境管理体系，提升土壤环境管理水平，促进土壤资源永续利用、保障人居环境安全，具有十分重要的意义。</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该项目的立项符合国家法律法规、国民经济发展规划和相关政策、符合行业发展规划和政策要求，符合“土壤污染防治行动计划”，与四川省生态环境厅职责范围相符，属于四川省生态环境厅履职所需。根据《四川省环境保护厅办公室关于印发&lt;四川省重点行业企业用地调查实施方案&gt;的通知》（川环办发〔2018〕73号），项目的设立程序符合相关规定，审批文件、材料符合相关要求，且项目的设立经过了必要的可行性研究、专家论证、风险评估、绩效评估、集体决策。同时，四川省重点行业企业用地调查属于中央财政资金支持范围，符合中央支出责任划分原则。</w:t>
      </w:r>
      <w:bookmarkEnd w:id="130"/>
    </w:p>
    <w:p>
      <w:pPr>
        <w:numPr>
          <w:ilvl w:val="0"/>
          <w:numId w:val="10"/>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项目管理情况</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为加强项目管理，保证项目工作顺利开展，保质保量按期完成项目工作，</w:t>
      </w:r>
      <w:r>
        <w:rPr>
          <w:rFonts w:hint="eastAsia" w:ascii="仿宋_GB2312" w:hAnsi="Calibri" w:eastAsia="仿宋_GB2312" w:cs="仿宋"/>
          <w:color w:val="000000"/>
          <w:kern w:val="0"/>
          <w:sz w:val="32"/>
          <w:szCs w:val="32"/>
          <w:lang w:val="en-US" w:eastAsia="zh-CN" w:bidi="ar-SA"/>
        </w:rPr>
        <w:t>我单位成立</w:t>
      </w:r>
      <w:r>
        <w:rPr>
          <w:rFonts w:hint="eastAsia" w:ascii="仿宋_GB2312" w:hAnsi="Calibri" w:eastAsia="仿宋_GB2312" w:cs="仿宋"/>
          <w:color w:val="000000"/>
          <w:kern w:val="0"/>
          <w:sz w:val="32"/>
          <w:szCs w:val="32"/>
          <w:lang w:val="zh-CN" w:eastAsia="zh-CN" w:bidi="ar-SA"/>
        </w:rPr>
        <w:t>了</w:t>
      </w:r>
      <w:r>
        <w:rPr>
          <w:rFonts w:hint="eastAsia" w:ascii="仿宋_GB2312" w:hAnsi="Calibri" w:eastAsia="仿宋_GB2312" w:cs="仿宋"/>
          <w:color w:val="000000"/>
          <w:kern w:val="0"/>
          <w:sz w:val="32"/>
          <w:szCs w:val="32"/>
          <w:lang w:val="en-US" w:eastAsia="zh-CN" w:bidi="ar-SA"/>
        </w:rPr>
        <w:t>项目经理部，</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经理部</w:t>
      </w:r>
      <w:r>
        <w:rPr>
          <w:rFonts w:hint="eastAsia" w:ascii="仿宋_GB2312" w:hAnsi="Calibri" w:eastAsia="仿宋_GB2312" w:cs="仿宋"/>
          <w:color w:val="000000"/>
          <w:kern w:val="0"/>
          <w:sz w:val="32"/>
          <w:szCs w:val="32"/>
          <w:lang w:val="zh-CN" w:eastAsia="zh-CN" w:bidi="ar-SA"/>
        </w:rPr>
        <w:t>下设：</w:t>
      </w: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小组、质控小组、</w:t>
      </w:r>
      <w:r>
        <w:rPr>
          <w:rFonts w:hint="eastAsia" w:ascii="仿宋_GB2312" w:hAnsi="Calibri" w:eastAsia="仿宋_GB2312" w:cs="仿宋"/>
          <w:color w:val="000000"/>
          <w:kern w:val="0"/>
          <w:sz w:val="32"/>
          <w:szCs w:val="32"/>
          <w:lang w:val="en-US" w:eastAsia="zh-CN" w:bidi="ar-SA"/>
        </w:rPr>
        <w:t>制样小组</w:t>
      </w:r>
      <w:r>
        <w:rPr>
          <w:rFonts w:hint="eastAsia" w:ascii="仿宋_GB2312" w:hAnsi="Calibri" w:eastAsia="仿宋_GB2312" w:cs="仿宋"/>
          <w:color w:val="000000"/>
          <w:kern w:val="0"/>
          <w:sz w:val="32"/>
          <w:szCs w:val="32"/>
          <w:lang w:val="zh-CN" w:eastAsia="zh-CN" w:bidi="ar-SA"/>
        </w:rPr>
        <w:t>。</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小组负责</w:t>
      </w:r>
      <w:r>
        <w:rPr>
          <w:rFonts w:hint="eastAsia" w:ascii="仿宋_GB2312" w:hAnsi="Calibri" w:eastAsia="仿宋_GB2312" w:cs="仿宋"/>
          <w:color w:val="000000"/>
          <w:kern w:val="0"/>
          <w:sz w:val="32"/>
          <w:szCs w:val="32"/>
          <w:lang w:val="en-US" w:eastAsia="zh-CN" w:bidi="ar-SA"/>
        </w:rPr>
        <w:t>采样</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的</w:t>
      </w:r>
      <w:r>
        <w:rPr>
          <w:rFonts w:hint="eastAsia" w:ascii="仿宋_GB2312" w:hAnsi="Calibri" w:eastAsia="仿宋_GB2312" w:cs="仿宋"/>
          <w:color w:val="000000"/>
          <w:kern w:val="0"/>
          <w:sz w:val="32"/>
          <w:szCs w:val="32"/>
          <w:lang w:val="zh-CN" w:eastAsia="zh-CN" w:bidi="ar-SA"/>
        </w:rPr>
        <w:t>具体实施；</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质控小组负责项目</w:t>
      </w:r>
      <w:r>
        <w:rPr>
          <w:rFonts w:hint="eastAsia" w:ascii="仿宋_GB2312" w:hAnsi="Calibri" w:eastAsia="仿宋_GB2312" w:cs="仿宋"/>
          <w:color w:val="000000"/>
          <w:kern w:val="0"/>
          <w:sz w:val="32"/>
          <w:szCs w:val="32"/>
          <w:lang w:val="en-US" w:eastAsia="zh-CN" w:bidi="ar-SA"/>
        </w:rPr>
        <w:t>的</w:t>
      </w:r>
      <w:r>
        <w:rPr>
          <w:rFonts w:hint="eastAsia" w:ascii="仿宋_GB2312" w:hAnsi="Calibri" w:eastAsia="仿宋_GB2312" w:cs="仿宋"/>
          <w:color w:val="000000"/>
          <w:kern w:val="0"/>
          <w:sz w:val="32"/>
          <w:szCs w:val="32"/>
          <w:lang w:val="zh-CN" w:eastAsia="zh-CN" w:bidi="ar-SA"/>
        </w:rPr>
        <w:t>质量管理、质量监控</w:t>
      </w:r>
      <w:r>
        <w:rPr>
          <w:rFonts w:hint="eastAsia" w:ascii="仿宋_GB2312" w:hAnsi="Calibri" w:eastAsia="仿宋_GB2312" w:cs="仿宋"/>
          <w:color w:val="000000"/>
          <w:kern w:val="0"/>
          <w:sz w:val="32"/>
          <w:szCs w:val="32"/>
          <w:lang w:val="en-US" w:eastAsia="zh-CN" w:bidi="ar-SA"/>
        </w:rPr>
        <w:t>;</w:t>
      </w:r>
    </w:p>
    <w:p>
      <w:pPr>
        <w:pStyle w:val="2"/>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制样小组</w:t>
      </w:r>
      <w:r>
        <w:rPr>
          <w:rFonts w:hint="eastAsia" w:ascii="仿宋_GB2312" w:hAnsi="Calibri" w:eastAsia="仿宋_GB2312" w:cs="仿宋"/>
          <w:color w:val="000000"/>
          <w:kern w:val="0"/>
          <w:sz w:val="32"/>
          <w:szCs w:val="32"/>
          <w:lang w:val="zh-CN" w:eastAsia="zh-CN" w:bidi="ar-SA"/>
        </w:rPr>
        <w:t>负责项目</w:t>
      </w:r>
      <w:r>
        <w:rPr>
          <w:rFonts w:hint="eastAsia" w:ascii="仿宋_GB2312" w:hAnsi="Calibri" w:eastAsia="仿宋_GB2312" w:cs="仿宋"/>
          <w:color w:val="000000"/>
          <w:kern w:val="0"/>
          <w:sz w:val="32"/>
          <w:szCs w:val="32"/>
          <w:lang w:val="en-US" w:eastAsia="zh-CN" w:bidi="ar-SA"/>
        </w:rPr>
        <w:t>样品的粗制样。</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同时，我单位</w:t>
      </w:r>
      <w:r>
        <w:rPr>
          <w:rFonts w:hint="eastAsia" w:ascii="仿宋_GB2312" w:hAnsi="Calibri" w:eastAsia="仿宋_GB2312" w:cs="仿宋"/>
          <w:color w:val="000000"/>
          <w:kern w:val="0"/>
          <w:sz w:val="32"/>
          <w:szCs w:val="32"/>
          <w:lang w:val="zh-CN" w:eastAsia="zh-CN" w:bidi="ar-SA"/>
        </w:rPr>
        <w:t>构建了“采样小组自查—采样单位质控检查”</w:t>
      </w:r>
      <w:r>
        <w:rPr>
          <w:rFonts w:hint="eastAsia" w:ascii="仿宋_GB2312" w:hAnsi="Calibri" w:eastAsia="仿宋_GB2312" w:cs="仿宋"/>
          <w:color w:val="000000"/>
          <w:kern w:val="0"/>
          <w:sz w:val="32"/>
          <w:szCs w:val="32"/>
          <w:lang w:val="en-US" w:eastAsia="zh-CN" w:bidi="ar-SA"/>
        </w:rPr>
        <w:t>的二</w:t>
      </w:r>
      <w:r>
        <w:rPr>
          <w:rFonts w:hint="eastAsia" w:ascii="仿宋_GB2312" w:hAnsi="Calibri" w:eastAsia="仿宋_GB2312" w:cs="仿宋"/>
          <w:color w:val="000000"/>
          <w:kern w:val="0"/>
          <w:sz w:val="32"/>
          <w:szCs w:val="32"/>
          <w:lang w:val="zh-CN" w:eastAsia="zh-CN" w:bidi="ar-SA"/>
        </w:rPr>
        <w:t>级质量管理体系，搭建了“采样小组—质控小组—省质控</w:t>
      </w:r>
      <w:r>
        <w:rPr>
          <w:rFonts w:hint="eastAsia" w:ascii="仿宋_GB2312" w:hAnsi="Calibri" w:eastAsia="仿宋_GB2312" w:cs="仿宋"/>
          <w:color w:val="000000"/>
          <w:kern w:val="0"/>
          <w:sz w:val="32"/>
          <w:szCs w:val="32"/>
          <w:lang w:val="en-US" w:eastAsia="zh-CN" w:bidi="ar-SA"/>
        </w:rPr>
        <w:t>单位</w:t>
      </w:r>
      <w:r>
        <w:rPr>
          <w:rFonts w:hint="eastAsia" w:ascii="仿宋_GB2312" w:hAnsi="Calibri" w:eastAsia="仿宋_GB2312" w:cs="仿宋"/>
          <w:color w:val="000000"/>
          <w:kern w:val="0"/>
          <w:sz w:val="32"/>
          <w:szCs w:val="32"/>
          <w:lang w:val="zh-CN" w:eastAsia="zh-CN" w:bidi="ar-SA"/>
        </w:rPr>
        <w:t>”的沟通桥梁。</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质控小组发现问题及时向技术负责人汇报，同时与采样小组沟通，反馈现场和资料检查中存在的问题，以减少问题的发生，保障采样工作质量，促进工作进度。</w:t>
      </w:r>
    </w:p>
    <w:p>
      <w:pPr>
        <w:pStyle w:val="2"/>
        <w:ind w:firstLine="560"/>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采样小组组长每日及时向</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经理部反馈小组当日工作进度、工作中遇到的问题，</w:t>
      </w:r>
      <w:r>
        <w:rPr>
          <w:rFonts w:hint="eastAsia" w:ascii="仿宋_GB2312" w:hAnsi="Calibri" w:eastAsia="仿宋_GB2312" w:cs="仿宋"/>
          <w:color w:val="000000"/>
          <w:kern w:val="0"/>
          <w:sz w:val="32"/>
          <w:szCs w:val="32"/>
          <w:lang w:val="zh-CN" w:eastAsia="zh-CN" w:bidi="ar-SA"/>
        </w:rPr>
        <w:t>以便于项目</w:t>
      </w:r>
      <w:r>
        <w:rPr>
          <w:rFonts w:hint="eastAsia" w:ascii="仿宋_GB2312" w:hAnsi="Calibri" w:eastAsia="仿宋_GB2312" w:cs="仿宋"/>
          <w:color w:val="000000"/>
          <w:kern w:val="0"/>
          <w:sz w:val="32"/>
          <w:szCs w:val="32"/>
          <w:lang w:val="en-US" w:eastAsia="zh-CN" w:bidi="ar-SA"/>
        </w:rPr>
        <w:t>经理部的</w:t>
      </w:r>
      <w:r>
        <w:rPr>
          <w:rFonts w:hint="eastAsia" w:ascii="仿宋_GB2312" w:hAnsi="Calibri" w:eastAsia="仿宋_GB2312" w:cs="仿宋"/>
          <w:color w:val="000000"/>
          <w:kern w:val="0"/>
          <w:sz w:val="32"/>
          <w:szCs w:val="32"/>
          <w:lang w:val="zh-CN" w:eastAsia="zh-CN" w:bidi="ar-SA"/>
        </w:rPr>
        <w:t>统一组织、协调、管理。</w:t>
      </w:r>
    </w:p>
    <w:p>
      <w:pPr>
        <w:pStyle w:val="2"/>
        <w:ind w:firstLine="560"/>
        <w:rPr>
          <w:rFonts w:ascii="仿宋_GB2312" w:hAnsi="宋体"/>
          <w:szCs w:val="32"/>
        </w:rPr>
      </w:pPr>
      <w:r>
        <w:rPr>
          <w:rFonts w:hint="eastAsia" w:ascii="仿宋_GB2312" w:hAnsi="Calibri" w:eastAsia="仿宋_GB2312" w:cs="仿宋"/>
          <w:color w:val="000000"/>
          <w:kern w:val="0"/>
          <w:sz w:val="32"/>
          <w:szCs w:val="32"/>
          <w:lang w:val="en-US" w:eastAsia="zh-CN" w:bidi="ar-SA"/>
        </w:rPr>
        <w:t>项目资金管理方面，建立“四川省重点行业企业用地调查采样项目”专项资金管理制度，严格做到资金的专款专用。所有项目经费支出凭正式发票或符合规定的其他付款凭据，经项目经办人签字、项目负责人签字、主管领导会签、单位领导审批签字后报销支出，财务部根据审批情况进行款项支付和会计核算。确保了本项目的专款专用，无超预算、无预算支出、无超范围、超标准支出。项目过程中不断增强和落实绩效管理责任，完善工作机制，有效提高了专项资金管理水平和使用效益。</w:t>
      </w:r>
    </w:p>
    <w:p>
      <w:pPr>
        <w:numPr>
          <w:ilvl w:val="0"/>
          <w:numId w:val="10"/>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项目产出情况</w:t>
      </w:r>
    </w:p>
    <w:p>
      <w:pPr>
        <w:adjustRightInd w:val="0"/>
        <w:snapToGrid w:val="0"/>
        <w:spacing w:line="580" w:lineRule="exact"/>
        <w:ind w:firstLine="72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项目共完成383个地块、2个区域土壤背景点、14个化工园样品采集工作及承担区域内土壤样品的粗制工作。</w:t>
      </w:r>
    </w:p>
    <w:p>
      <w:pPr>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我单位承担的重点行业企业用地调查采样工作，严格按照《采样技术规定》、《质控技术规定》等规范执行，钻进工作方法正确、采样位置合理、采样规范、样品真实有效；质量管理体系完善且运行良好，质量监督检查组认真负责，保障了工作质量。通过近五个月的时间，圆满地完成了四川省重点行业企业用地调查采样任务。</w:t>
      </w:r>
    </w:p>
    <w:p>
      <w:pPr>
        <w:pStyle w:val="2"/>
        <w:rPr>
          <w:rFonts w:hint="eastAsia"/>
          <w:lang w:val="en-US" w:eastAsia="zh-CN"/>
        </w:rPr>
      </w:pPr>
    </w:p>
    <w:p>
      <w:pPr>
        <w:numPr>
          <w:ilvl w:val="0"/>
          <w:numId w:val="10"/>
        </w:num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项目效益情况</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数量指标</w:t>
      </w:r>
      <w:r>
        <w:rPr>
          <w:rFonts w:hint="eastAsia" w:hAnsi="Calibri" w:cs="仿宋"/>
          <w:color w:val="000000"/>
          <w:kern w:val="0"/>
          <w:sz w:val="32"/>
          <w:szCs w:val="32"/>
          <w:lang w:val="zh-CN" w:eastAsia="zh-CN" w:bidi="ar-SA"/>
        </w:rPr>
        <w:t>：</w:t>
      </w:r>
      <w:r>
        <w:rPr>
          <w:rFonts w:hint="eastAsia" w:ascii="仿宋_GB2312" w:hAnsi="Calibri" w:eastAsia="仿宋_GB2312" w:cs="仿宋"/>
          <w:color w:val="000000"/>
          <w:kern w:val="0"/>
          <w:sz w:val="32"/>
          <w:szCs w:val="32"/>
          <w:lang w:val="zh-CN" w:eastAsia="zh-CN" w:bidi="ar-SA"/>
        </w:rPr>
        <w:t>项目共完成383个地块、2个区域土壤背景点、14个化工园样品采集工作及承担区域内土壤样品的粗制工作，</w:t>
      </w:r>
      <w:r>
        <w:rPr>
          <w:rFonts w:hint="eastAsia" w:ascii="仿宋_GB2312" w:hAnsi="Calibri" w:eastAsia="仿宋_GB2312" w:cs="仿宋"/>
          <w:color w:val="000000"/>
          <w:kern w:val="0"/>
          <w:sz w:val="32"/>
          <w:szCs w:val="32"/>
          <w:lang w:val="en-US" w:eastAsia="zh-CN" w:bidi="ar-SA"/>
        </w:rPr>
        <w:t>共计1999个土壤采样点、1021个地下水采样点，共完成样品采集12700份（分别是：土壤样品9712组，地下水样品2988组；实际采样组数根据地层情况、是否有污染痕迹等情况调整，空白样单独统计组数，因此采样点位与任务组数有一定差别）。</w:t>
      </w:r>
    </w:p>
    <w:p>
      <w:pPr>
        <w:pStyle w:val="2"/>
        <w:numPr>
          <w:ilvl w:val="0"/>
          <w:numId w:val="11"/>
        </w:numPr>
        <w:ind w:firstLine="560"/>
        <w:rPr>
          <w:lang w:val="zh-CN"/>
        </w:rPr>
      </w:pPr>
      <w:r>
        <w:rPr>
          <w:rFonts w:hint="eastAsia" w:ascii="仿宋_GB2312" w:hAnsi="Calibri" w:eastAsia="仿宋_GB2312" w:cs="仿宋"/>
          <w:color w:val="000000"/>
          <w:kern w:val="0"/>
          <w:sz w:val="32"/>
          <w:szCs w:val="32"/>
          <w:lang w:val="en-US" w:eastAsia="zh-CN" w:bidi="ar-SA"/>
        </w:rPr>
        <w:t>质量</w:t>
      </w:r>
      <w:r>
        <w:rPr>
          <w:rFonts w:hint="eastAsia" w:ascii="仿宋_GB2312" w:hAnsi="Calibri" w:eastAsia="仿宋_GB2312" w:cs="仿宋"/>
          <w:color w:val="000000"/>
          <w:kern w:val="0"/>
          <w:sz w:val="32"/>
          <w:szCs w:val="32"/>
          <w:lang w:val="zh-CN" w:eastAsia="zh-CN" w:bidi="ar-SA"/>
        </w:rPr>
        <w:t>指标</w:t>
      </w:r>
      <w:r>
        <w:rPr>
          <w:rFonts w:hint="eastAsia" w:hAnsi="Calibri" w:cs="仿宋"/>
          <w:color w:val="000000"/>
          <w:kern w:val="0"/>
          <w:sz w:val="32"/>
          <w:szCs w:val="32"/>
          <w:lang w:val="zh-CN" w:eastAsia="zh-CN" w:bidi="ar-SA"/>
        </w:rPr>
        <w:t>：</w:t>
      </w:r>
      <w:r>
        <w:rPr>
          <w:rFonts w:hint="eastAsia" w:ascii="仿宋_GB2312" w:hAnsi="Calibri" w:eastAsia="仿宋_GB2312" w:cs="仿宋"/>
          <w:color w:val="000000"/>
          <w:kern w:val="0"/>
          <w:sz w:val="32"/>
          <w:szCs w:val="32"/>
          <w:lang w:val="zh-CN" w:eastAsia="zh-CN" w:bidi="ar-SA"/>
        </w:rPr>
        <w:t>项目</w:t>
      </w:r>
      <w:r>
        <w:rPr>
          <w:rFonts w:hint="eastAsia" w:ascii="仿宋_GB2312" w:hAnsi="Calibri" w:eastAsia="仿宋_GB2312" w:cs="仿宋"/>
          <w:color w:val="000000"/>
          <w:kern w:val="0"/>
          <w:sz w:val="32"/>
          <w:szCs w:val="32"/>
          <w:lang w:val="en-US" w:eastAsia="zh-CN" w:bidi="ar-SA"/>
        </w:rPr>
        <w:t>严格按照</w:t>
      </w:r>
      <w:r>
        <w:rPr>
          <w:rFonts w:hint="eastAsia" w:ascii="仿宋_GB2312" w:hAnsi="Calibri" w:eastAsia="仿宋_GB2312" w:cs="仿宋"/>
          <w:color w:val="000000"/>
          <w:kern w:val="0"/>
          <w:sz w:val="32"/>
          <w:szCs w:val="32"/>
          <w:lang w:val="zh-CN" w:eastAsia="zh-CN" w:bidi="ar-SA"/>
        </w:rPr>
        <w:t>国家技术要求完成采样工作，通过</w:t>
      </w:r>
      <w:r>
        <w:rPr>
          <w:rFonts w:hint="eastAsia" w:ascii="仿宋_GB2312" w:hAnsi="Calibri" w:eastAsia="仿宋_GB2312" w:cs="仿宋"/>
          <w:color w:val="000000"/>
          <w:kern w:val="0"/>
          <w:sz w:val="32"/>
          <w:szCs w:val="32"/>
          <w:lang w:val="en-US" w:eastAsia="zh-CN" w:bidi="ar-SA"/>
        </w:rPr>
        <w:t>了省级质控（四川省生态环境监测站）、国家质控（国家详查办）组织的各次质量检查。</w:t>
      </w:r>
    </w:p>
    <w:p>
      <w:pPr>
        <w:pStyle w:val="2"/>
        <w:numPr>
          <w:ilvl w:val="0"/>
          <w:numId w:val="11"/>
        </w:numPr>
        <w:ind w:firstLine="560"/>
      </w:pPr>
      <w:r>
        <w:rPr>
          <w:rFonts w:hint="eastAsia"/>
        </w:rPr>
        <w:t>时效</w:t>
      </w:r>
      <w:r>
        <w:rPr>
          <w:rFonts w:hint="eastAsia"/>
          <w:lang w:val="zh-CN"/>
        </w:rPr>
        <w:t>指标：</w:t>
      </w:r>
      <w:r>
        <w:rPr>
          <w:rFonts w:hint="eastAsia"/>
        </w:rPr>
        <w:t>已于2020年8月23日全面完成野外采样及样品粗制工作。省厅最初下达完成时间为2</w:t>
      </w:r>
      <w:r>
        <w:t>020</w:t>
      </w:r>
      <w:r>
        <w:rPr>
          <w:rFonts w:hint="eastAsia"/>
        </w:rPr>
        <w:t>年8月1日前，后因实际工作进展延迟到8月3</w:t>
      </w:r>
      <w:r>
        <w:t>1</w:t>
      </w:r>
      <w:r>
        <w:rPr>
          <w:rFonts w:hint="eastAsia"/>
        </w:rPr>
        <w:t>日前完成重点行业用地调查项目。</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成本指标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截止2020年9月，使用资金1299万元，专项资金执行率为100%。</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经济效益指标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推进建设用地准入管理，指导实施土壤污染分类别、分用途、分阶段治理，有利于相关部门加强土壤环境污染防治和风险管控。</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社会效益指标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已根据调查成果建立了全省重点行业企业用地疑似污染地块清单、污染地块清单和优先管控名录。</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生态效益指标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根据调查成果，有利于加强污染地块管控，防止企业用地环境恶化。</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可持续影响指标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重点行业企业用地调查工作已有序开展完成。</w:t>
      </w:r>
    </w:p>
    <w:p>
      <w:pPr>
        <w:pStyle w:val="2"/>
        <w:numPr>
          <w:ilvl w:val="0"/>
          <w:numId w:val="11"/>
        </w:numPr>
        <w:ind w:firstLine="56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满意度指标</w:t>
      </w:r>
      <w:r>
        <w:rPr>
          <w:rFonts w:hint="eastAsia" w:hAnsi="Calibri" w:cs="仿宋"/>
          <w:color w:val="000000"/>
          <w:kern w:val="0"/>
          <w:sz w:val="32"/>
          <w:szCs w:val="32"/>
          <w:lang w:val="en-US" w:eastAsia="zh-CN" w:bidi="ar-SA"/>
        </w:rPr>
        <w:t>：</w:t>
      </w:r>
      <w:r>
        <w:rPr>
          <w:rFonts w:hint="eastAsia" w:ascii="仿宋_GB2312" w:hAnsi="Calibri" w:eastAsia="仿宋_GB2312" w:cs="仿宋"/>
          <w:color w:val="000000"/>
          <w:kern w:val="0"/>
          <w:sz w:val="32"/>
          <w:szCs w:val="32"/>
          <w:lang w:val="en-US" w:eastAsia="zh-CN" w:bidi="ar-SA"/>
        </w:rPr>
        <w:t>通过已通过省级抽查，合格率100%，四川省生态环境厅满意度较高。</w:t>
      </w:r>
    </w:p>
    <w:p>
      <w:pPr>
        <w:numPr>
          <w:ilvl w:val="0"/>
          <w:numId w:val="12"/>
        </w:numPr>
        <w:snapToGrid w:val="0"/>
        <w:spacing w:line="600" w:lineRule="exact"/>
        <w:ind w:firstLine="560" w:firstLineChars="200"/>
        <w:rPr>
          <w:rFonts w:ascii="黑体" w:hAnsi="宋体" w:eastAsia="黑体"/>
          <w:sz w:val="28"/>
          <w:szCs w:val="22"/>
        </w:rPr>
      </w:pPr>
      <w:r>
        <w:rPr>
          <w:rFonts w:hint="eastAsia" w:ascii="黑体" w:hAnsi="宋体" w:eastAsia="黑体"/>
          <w:sz w:val="28"/>
          <w:szCs w:val="22"/>
        </w:rPr>
        <w:t>存在主要问题</w:t>
      </w:r>
    </w:p>
    <w:p>
      <w:pPr>
        <w:pStyle w:val="2"/>
        <w:numPr>
          <w:ilvl w:val="0"/>
          <w:numId w:val="11"/>
        </w:numPr>
        <w:spacing w:beforeLines="-2147483648" w:line="240" w:lineRule="auto"/>
        <w:ind w:firstLine="560" w:firstLineChars="0"/>
        <w:rPr>
          <w:rFonts w:hint="eastAsia" w:ascii="仿宋_GB2312" w:hAnsi="Calibri" w:cs="仿宋"/>
          <w:color w:val="000000"/>
          <w:kern w:val="0"/>
          <w:sz w:val="32"/>
          <w:szCs w:val="32"/>
          <w:lang w:val="en-US" w:eastAsia="zh-CN"/>
        </w:rPr>
      </w:pPr>
      <w:r>
        <w:rPr>
          <w:rFonts w:hint="eastAsia" w:ascii="仿宋_GB2312" w:hAnsi="Calibri" w:cs="仿宋"/>
          <w:color w:val="000000"/>
          <w:kern w:val="0"/>
          <w:sz w:val="32"/>
          <w:szCs w:val="32"/>
          <w:lang w:val="en-US" w:eastAsia="zh-CN"/>
        </w:rPr>
        <w:t>因新冠疫情影响，原采样启动计划被迫延迟，但生态环境部仍要求按原计划完成采样，因此为确保采样工作的按期、保质完成，在组织采样过程中增加了采样人员的投入，存在人员费用增加的风险。</w:t>
      </w:r>
    </w:p>
    <w:p>
      <w:pPr>
        <w:pStyle w:val="2"/>
        <w:numPr>
          <w:ilvl w:val="0"/>
          <w:numId w:val="11"/>
        </w:numPr>
        <w:spacing w:beforeLines="-2147483648" w:line="240" w:lineRule="auto"/>
        <w:ind w:firstLine="560" w:firstLineChars="0"/>
        <w:rPr>
          <w:rFonts w:hint="eastAsia" w:ascii="仿宋_GB2312" w:hAnsi="Calibri" w:cs="仿宋"/>
          <w:color w:val="000000"/>
          <w:kern w:val="0"/>
          <w:sz w:val="32"/>
          <w:szCs w:val="32"/>
          <w:lang w:val="en-US" w:eastAsia="zh-CN"/>
        </w:rPr>
      </w:pPr>
      <w:r>
        <w:rPr>
          <w:rFonts w:hint="eastAsia" w:ascii="仿宋_GB2312" w:hAnsi="Calibri" w:cs="仿宋"/>
          <w:color w:val="000000"/>
          <w:kern w:val="0"/>
          <w:sz w:val="32"/>
          <w:szCs w:val="32"/>
          <w:lang w:val="en-US" w:eastAsia="zh-CN"/>
        </w:rPr>
        <w:t>采样点位布设工作由各市州环保局自行通过公开招标的方式委托相关单位开展。部分点位的布设，未考虑到采样施工时是否具备一定的采样条件，以及部分点位存在因地块资料缺失对地层判断的误差，导致点位的调整、采样组数的增加，间接导致一定的采样成本增加。</w:t>
      </w:r>
    </w:p>
    <w:p>
      <w:pPr>
        <w:pStyle w:val="2"/>
        <w:numPr>
          <w:ilvl w:val="0"/>
          <w:numId w:val="11"/>
        </w:numPr>
        <w:spacing w:beforeLines="-2147483648" w:line="240" w:lineRule="auto"/>
        <w:ind w:firstLine="560" w:firstLineChars="0"/>
        <w:rPr>
          <w:rFonts w:hint="eastAsia" w:ascii="仿宋_GB2312" w:hAnsi="Calibri" w:cs="仿宋"/>
          <w:color w:val="000000"/>
          <w:kern w:val="0"/>
          <w:sz w:val="32"/>
          <w:szCs w:val="32"/>
          <w:lang w:val="en-US" w:eastAsia="zh-CN"/>
        </w:rPr>
      </w:pPr>
      <w:r>
        <w:rPr>
          <w:rFonts w:hint="eastAsia" w:ascii="仿宋_GB2312" w:hAnsi="Calibri" w:cs="仿宋"/>
          <w:color w:val="000000"/>
          <w:kern w:val="0"/>
          <w:sz w:val="32"/>
          <w:szCs w:val="32"/>
          <w:lang w:val="en-US" w:eastAsia="zh-CN"/>
        </w:rPr>
        <w:t>部分地市州，如成都市、绵阳市等，存在砂卵石层，清水回转钻进方式钻进速度较慢，导致地下水建井工作的进度较慢，一定程度上增加了采样工作成本。</w:t>
      </w:r>
    </w:p>
    <w:p>
      <w:pPr>
        <w:numPr>
          <w:ilvl w:val="0"/>
          <w:numId w:val="12"/>
        </w:numPr>
        <w:snapToGrid w:val="0"/>
        <w:spacing w:line="600" w:lineRule="exact"/>
        <w:ind w:firstLine="560" w:firstLineChars="200"/>
        <w:rPr>
          <w:rFonts w:ascii="黑体" w:hAnsi="宋体" w:eastAsia="黑体"/>
          <w:sz w:val="28"/>
          <w:szCs w:val="22"/>
        </w:rPr>
      </w:pPr>
      <w:r>
        <w:rPr>
          <w:rFonts w:hint="eastAsia" w:ascii="黑体" w:hAnsi="宋体" w:eastAsia="黑体"/>
          <w:sz w:val="28"/>
          <w:szCs w:val="22"/>
        </w:rPr>
        <w:t>相关措施建议</w:t>
      </w:r>
    </w:p>
    <w:p>
      <w:pPr>
        <w:pStyle w:val="2"/>
        <w:spacing w:beforeLines="-2147483648" w:line="360" w:lineRule="auto"/>
        <w:ind w:firstLine="560" w:firstLineChars="200"/>
        <w:rPr>
          <w:rFonts w:hint="eastAsia" w:ascii="Times New Roman" w:hAnsi="Times New Roman" w:cs="Times New Roman"/>
          <w:kern w:val="2"/>
          <w:sz w:val="28"/>
          <w:szCs w:val="22"/>
          <w:lang w:val="en-US" w:eastAsia="zh-CN"/>
        </w:rPr>
      </w:pPr>
      <w:r>
        <w:rPr>
          <w:rFonts w:hint="eastAsia" w:ascii="Times New Roman" w:hAnsi="Times New Roman" w:cs="Times New Roman"/>
          <w:kern w:val="2"/>
          <w:sz w:val="28"/>
          <w:szCs w:val="22"/>
          <w:lang w:val="en-US" w:eastAsia="zh-CN"/>
        </w:rPr>
        <w:t xml:space="preserve">通过制定科学、合理的采样方案，合理安排采样工序，并积极探索新的采样工艺，缩短采样工期，确保按期完成采样任务，并降低采样成本。 </w:t>
      </w:r>
    </w:p>
    <w:p>
      <w:pPr>
        <w:rPr>
          <w:rFonts w:hint="eastAsia"/>
          <w:lang w:val="en-US" w:eastAsia="zh-CN"/>
        </w:rPr>
      </w:pPr>
      <w:r>
        <w:rPr>
          <w:rFonts w:hint="eastAsia"/>
          <w:lang w:val="en-US" w:eastAsia="zh-CN"/>
        </w:rPr>
        <w:t xml:space="preserve"> </w:t>
      </w:r>
    </w:p>
    <w:p>
      <w:pPr>
        <w:pStyle w:val="2"/>
        <w:jc w:val="right"/>
        <w:rPr>
          <w:rFonts w:hint="eastAsia"/>
          <w:lang w:val="en-US" w:eastAsia="zh-CN"/>
        </w:rPr>
      </w:pPr>
    </w:p>
    <w:p>
      <w:pPr>
        <w:pStyle w:val="2"/>
        <w:jc w:val="right"/>
        <w:rPr>
          <w:rFonts w:hint="eastAsia"/>
          <w:lang w:val="en-US" w:eastAsia="zh-CN"/>
        </w:rPr>
      </w:pPr>
      <w:r>
        <w:rPr>
          <w:rFonts w:hint="eastAsia"/>
          <w:lang w:val="en-US" w:eastAsia="zh-CN"/>
        </w:rPr>
        <w:t>四川省地质矿产勘查开发局</w:t>
      </w:r>
    </w:p>
    <w:p>
      <w:pPr>
        <w:pStyle w:val="2"/>
        <w:jc w:val="right"/>
        <w:rPr>
          <w:rFonts w:hint="eastAsia" w:eastAsia="仿宋_GB2312"/>
          <w:lang w:val="en-US" w:eastAsia="zh-CN"/>
        </w:rPr>
      </w:pPr>
      <w:r>
        <w:rPr>
          <w:rFonts w:hint="eastAsia"/>
          <w:lang w:val="en-US" w:eastAsia="zh-CN"/>
        </w:rPr>
        <w:t>成都水文地质工程地质队</w:t>
      </w: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sz w:val="32"/>
          <w:szCs w:val="32"/>
        </w:rPr>
      </w:pPr>
    </w:p>
    <w:p>
      <w:pPr>
        <w:spacing w:line="600" w:lineRule="exact"/>
        <w:rPr>
          <w:rFonts w:hint="eastAsia" w:ascii="黑体" w:hAnsi="黑体" w:eastAsia="黑体"/>
          <w:sz w:val="32"/>
          <w:szCs w:val="32"/>
        </w:rPr>
      </w:pPr>
    </w:p>
    <w:p>
      <w:pPr>
        <w:spacing w:line="600" w:lineRule="exact"/>
        <w:rPr>
          <w:sz w:val="32"/>
          <w:szCs w:val="32"/>
        </w:rPr>
      </w:pPr>
      <w:r>
        <w:rPr>
          <w:rFonts w:hint="eastAsia" w:ascii="黑体" w:hAnsi="黑体" w:eastAsia="黑体"/>
          <w:sz w:val="32"/>
          <w:szCs w:val="32"/>
        </w:rPr>
        <w:t>附件4</w:t>
      </w:r>
    </w:p>
    <w:p>
      <w:pPr>
        <w:tabs>
          <w:tab w:val="left" w:pos="3885"/>
        </w:tabs>
        <w:snapToGrid w:val="0"/>
        <w:spacing w:line="600" w:lineRule="exact"/>
        <w:jc w:val="center"/>
        <w:rPr>
          <w:rFonts w:hAnsi="宋体"/>
          <w:sz w:val="32"/>
          <w:szCs w:val="32"/>
        </w:rPr>
      </w:pPr>
      <w:r>
        <w:rPr>
          <w:rFonts w:hint="eastAsia" w:hAnsi="宋体"/>
          <w:sz w:val="32"/>
          <w:szCs w:val="32"/>
        </w:rPr>
        <w:t>四川省重点行业企业用地调查分析项目</w:t>
      </w:r>
    </w:p>
    <w:p>
      <w:pPr>
        <w:tabs>
          <w:tab w:val="left" w:pos="3885"/>
        </w:tabs>
        <w:snapToGrid w:val="0"/>
        <w:spacing w:line="600" w:lineRule="exact"/>
        <w:jc w:val="center"/>
        <w:rPr>
          <w:rFonts w:hAnsi="宋体"/>
          <w:sz w:val="32"/>
          <w:szCs w:val="32"/>
        </w:rPr>
      </w:pPr>
      <w:r>
        <w:rPr>
          <w:rFonts w:hint="eastAsia" w:ascii="仿宋_GB2312" w:hAnsi="宋体"/>
          <w:sz w:val="32"/>
          <w:szCs w:val="32"/>
        </w:rPr>
        <w:t>支出绩效自评报告</w:t>
      </w:r>
    </w:p>
    <w:p>
      <w:pPr>
        <w:tabs>
          <w:tab w:val="left" w:pos="3885"/>
        </w:tabs>
        <w:snapToGrid w:val="0"/>
        <w:spacing w:line="600" w:lineRule="exact"/>
        <w:ind w:firstLine="420" w:firstLineChars="200"/>
        <w:jc w:val="left"/>
        <w:rPr>
          <w:rFonts w:ascii="黑体" w:hAnsi="宋体" w:eastAsia="黑体"/>
          <w:b/>
          <w:bCs/>
          <w:sz w:val="28"/>
          <w:szCs w:val="22"/>
        </w:rPr>
      </w:pPr>
      <w:r>
        <w:rPr>
          <w:rFonts w:hint="eastAsia" w:ascii="黑体" w:hAnsi="黑体" w:eastAsia="黑体"/>
        </w:rPr>
        <w:t>一、</w:t>
      </w:r>
      <w:r>
        <w:rPr>
          <w:rFonts w:hint="eastAsia" w:ascii="黑体" w:hAnsi="宋体" w:eastAsia="黑体"/>
          <w:b/>
          <w:bCs/>
          <w:sz w:val="28"/>
          <w:szCs w:val="22"/>
        </w:rPr>
        <w:t>基本情况</w:t>
      </w:r>
    </w:p>
    <w:p>
      <w:p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（一）项目概况</w:t>
      </w:r>
    </w:p>
    <w:p>
      <w:pPr>
        <w:pStyle w:val="2"/>
        <w:ind w:firstLine="560"/>
        <w:rPr>
          <w:rFonts w:hint="eastAsia" w:ascii="Times New Roman" w:eastAsia="宋体"/>
          <w:kern w:val="2"/>
          <w:sz w:val="28"/>
          <w:szCs w:val="22"/>
        </w:rPr>
      </w:pPr>
      <w:r>
        <w:rPr>
          <w:rFonts w:hint="eastAsia" w:ascii="Times New Roman" w:eastAsia="宋体"/>
          <w:kern w:val="2"/>
          <w:sz w:val="28"/>
          <w:szCs w:val="22"/>
        </w:rPr>
        <w:t>土壤是经济社会可持续发展的物质基础，关系人民群众身体健康，关系美丽中国建设，保护好土壤环境是推进生态文明建设和维护国家生态安全的重要内容。当前，我国土壤环境保护还存在污染底数不清、监测监管和风险防控体系不健全，部分地区污染较为严重，已成为全面建成小康社会的突出短板之一。为切实加强土壤污染防治，逐步改善土壤环境质量，国务院于2016年5月印发了《土壤污染防治行动计划》（简称“土十条”）。</w:t>
      </w:r>
    </w:p>
    <w:p>
      <w:pPr>
        <w:pStyle w:val="2"/>
        <w:ind w:firstLine="560"/>
        <w:rPr>
          <w:rFonts w:hint="eastAsia" w:ascii="Times New Roman" w:eastAsia="宋体"/>
          <w:kern w:val="2"/>
          <w:sz w:val="28"/>
          <w:szCs w:val="22"/>
        </w:rPr>
      </w:pPr>
      <w:r>
        <w:rPr>
          <w:rFonts w:hint="eastAsia" w:ascii="Times New Roman" w:eastAsia="宋体"/>
          <w:kern w:val="2"/>
          <w:sz w:val="28"/>
          <w:szCs w:val="22"/>
        </w:rPr>
        <w:t>开展土壤污染状况详查是贯彻落实“土十条”的重要工作，是提升土壤环境管理水平的重要抓手和基础条件。“土十条”中明确要求：在现有相关调查基础上，以农用地和重点行业企业用地为重点，开展土壤污染状况详查，2018年四川省完成了农业用地土壤污染状况详查。</w:t>
      </w:r>
    </w:p>
    <w:p>
      <w:pPr>
        <w:tabs>
          <w:tab w:val="left" w:pos="3885"/>
        </w:tabs>
        <w:snapToGrid w:val="0"/>
        <w:spacing w:line="600" w:lineRule="exact"/>
        <w:ind w:firstLine="562" w:firstLineChars="200"/>
        <w:jc w:val="left"/>
        <w:rPr>
          <w:rFonts w:hint="eastAsia" w:ascii="楷体_GB2312" w:hAnsi="宋体" w:eastAsia="楷体_GB2312"/>
          <w:b/>
          <w:bCs w:val="0"/>
          <w:sz w:val="28"/>
          <w:szCs w:val="36"/>
        </w:rPr>
      </w:pPr>
      <w:r>
        <w:rPr>
          <w:rFonts w:hint="eastAsia" w:ascii="黑体" w:hAnsi="宋体" w:eastAsia="黑体"/>
          <w:b/>
          <w:bCs/>
          <w:sz w:val="28"/>
          <w:szCs w:val="22"/>
        </w:rPr>
        <w:t>（二）</w:t>
      </w:r>
      <w:r>
        <w:rPr>
          <w:rFonts w:hint="eastAsia" w:ascii="楷体_GB2312" w:hAnsi="宋体" w:eastAsia="楷体_GB2312"/>
          <w:b/>
          <w:bCs w:val="0"/>
          <w:sz w:val="28"/>
          <w:szCs w:val="36"/>
        </w:rPr>
        <w:t>项目实施情况</w:t>
      </w:r>
    </w:p>
    <w:p>
      <w:pPr>
        <w:pStyle w:val="2"/>
        <w:ind w:firstLine="560"/>
        <w:rPr>
          <w:rFonts w:hint="eastAsia" w:ascii="Times New Roman" w:eastAsia="宋体"/>
          <w:kern w:val="2"/>
          <w:sz w:val="28"/>
          <w:szCs w:val="22"/>
          <w:lang w:val="en-US"/>
        </w:rPr>
      </w:pPr>
      <w:r>
        <w:rPr>
          <w:rFonts w:hint="eastAsia" w:ascii="Times New Roman" w:eastAsia="宋体"/>
          <w:kern w:val="2"/>
          <w:sz w:val="28"/>
          <w:szCs w:val="22"/>
          <w:lang w:val="en-US"/>
        </w:rPr>
        <w:t>2019年四川省启动了重点行业企业用地土壤污染状况详查工作，并要求2020年年底前掌握全省重点行业企业用地中污染地块的分布及其环境风险情况。按照四川省生态环境厅的统一安排，四川省企业用地调查采样分析工作于2019年完成资金申报，我单位根据项目下达任务，参照川价函[2007]6号四川省环境监测收费标准编制了四川省重点行业企业用地调查采样分析项目预算书。本公司需完成</w:t>
      </w:r>
      <w:r>
        <w:rPr>
          <w:rFonts w:hint="eastAsia" w:ascii="Times New Roman" w:hAnsi="Times New Roman" w:eastAsia="宋体" w:cs="Times New Roman"/>
          <w:kern w:val="2"/>
          <w:sz w:val="28"/>
          <w:szCs w:val="22"/>
        </w:rPr>
        <w:t>802个地块的样品（不包含1地块无样品）分析测试任务。其中检测地块391个，比对地块404</w:t>
      </w:r>
      <w:r>
        <w:rPr>
          <w:rFonts w:hint="eastAsia" w:ascii="Times New Roman" w:eastAsia="宋体"/>
          <w:kern w:val="2"/>
          <w:sz w:val="28"/>
          <w:szCs w:val="22"/>
          <w:lang w:val="en-US"/>
        </w:rPr>
        <w:t>个。</w:t>
      </w:r>
    </w:p>
    <w:p>
      <w:pPr>
        <w:snapToGrid w:val="0"/>
        <w:spacing w:line="600" w:lineRule="exact"/>
        <w:ind w:firstLine="560" w:firstLineChars="200"/>
        <w:rPr>
          <w:rFonts w:hint="eastAsia" w:ascii="Times New Roman" w:hAnsi="Times New Roman" w:eastAsia="宋体" w:cs="Times New Roman"/>
          <w:kern w:val="2"/>
          <w:sz w:val="28"/>
          <w:szCs w:val="22"/>
          <w:lang w:val="zh-CN" w:eastAsia="zh-CN" w:bidi="ar-SA"/>
        </w:rPr>
      </w:pPr>
      <w:r>
        <w:rPr>
          <w:rFonts w:hint="eastAsia" w:ascii="Times New Roman" w:hAnsi="Times New Roman" w:eastAsia="宋体" w:cs="Times New Roman"/>
          <w:kern w:val="2"/>
          <w:sz w:val="28"/>
          <w:szCs w:val="22"/>
          <w:lang w:val="en-US" w:eastAsia="zh-CN" w:bidi="ar-SA"/>
        </w:rPr>
        <w:t>测试指标为《土壤环境质量建设用地土壤污染风险管控标准》（GB36600-2018）中表1建设用地土壤污染风险筛选值和管制值（基</w:t>
      </w:r>
      <w:r>
        <w:rPr>
          <w:rFonts w:hint="eastAsia" w:ascii="Times New Roman" w:hAnsi="Times New Roman" w:eastAsia="宋体" w:cs="Times New Roman"/>
          <w:kern w:val="2"/>
          <w:sz w:val="28"/>
          <w:szCs w:val="22"/>
          <w:lang w:val="zh-CN" w:eastAsia="zh-CN" w:bidi="ar-SA"/>
        </w:rPr>
        <w:t>本项目）、表2建设用地土壤污染风险筛选值和管制值（其他项目）中挥发性有机污染物及半挥发性有机污染物及其余针对各地块提出的特征污染物。</w:t>
      </w:r>
    </w:p>
    <w:p>
      <w:pPr>
        <w:snapToGrid w:val="0"/>
        <w:spacing w:line="600" w:lineRule="exact"/>
        <w:ind w:firstLine="560" w:firstLineChars="200"/>
        <w:rPr>
          <w:rFonts w:hint="eastAsia" w:ascii="Times New Roman" w:hAnsi="Times New Roman" w:eastAsia="宋体" w:cs="Times New Roman"/>
          <w:kern w:val="2"/>
          <w:sz w:val="28"/>
          <w:szCs w:val="22"/>
          <w:lang w:val="zh-CN" w:eastAsia="zh-CN" w:bidi="ar-SA"/>
        </w:rPr>
      </w:pPr>
      <w:r>
        <w:rPr>
          <w:rFonts w:hint="eastAsia" w:ascii="Times New Roman" w:hAnsi="Times New Roman" w:eastAsia="宋体" w:cs="Times New Roman"/>
          <w:kern w:val="2"/>
          <w:sz w:val="28"/>
          <w:szCs w:val="22"/>
          <w:lang w:val="zh-CN" w:eastAsia="zh-CN" w:bidi="ar-SA"/>
        </w:rPr>
        <w:t>本公司从2019年10月与川勘集团协作完成全省第一个试点地块，截止项目完成，分析样品数量共计17949个，其中土壤样品17676个，水质样品273个。17676个土壤样品含有机17284个（含全程序空白QCK、运输空白YCK），无机及金属样品392个。目前已经全部分析测试完毕，所有数据均上传完毕。</w:t>
      </w:r>
    </w:p>
    <w:p>
      <w:pPr>
        <w:snapToGrid w:val="0"/>
        <w:spacing w:line="600" w:lineRule="exact"/>
        <w:ind w:firstLine="560" w:firstLineChars="200"/>
        <w:rPr>
          <w:rFonts w:hint="eastAsia" w:ascii="Times New Roman" w:hAnsi="Times New Roman" w:eastAsia="宋体" w:cs="Times New Roman"/>
          <w:kern w:val="2"/>
          <w:sz w:val="28"/>
          <w:szCs w:val="22"/>
          <w:lang w:val="zh-CN" w:eastAsia="zh-CN" w:bidi="ar-SA"/>
        </w:rPr>
      </w:pPr>
      <w:r>
        <w:rPr>
          <w:rFonts w:hint="eastAsia" w:ascii="Times New Roman" w:hAnsi="Times New Roman" w:eastAsia="宋体" w:cs="Times New Roman"/>
          <w:kern w:val="2"/>
          <w:sz w:val="28"/>
          <w:szCs w:val="22"/>
          <w:lang w:val="zh-CN" w:eastAsia="zh-CN" w:bidi="ar-SA"/>
        </w:rPr>
        <w:t>我公司开展了重点行业企业用地土壤污染状况详查工作，于2020年10月提交完毕分析测试数据，为四川省掌握全省重点行业企业用地中污染地块的分布及其环境风险情况提供了数据支撑。截止目前，生态环境厅和财政厅暂未组织专家对项目进行验收。</w:t>
      </w:r>
    </w:p>
    <w:p>
      <w:pPr>
        <w:tabs>
          <w:tab w:val="left" w:pos="3885"/>
        </w:tabs>
        <w:snapToGrid w:val="0"/>
        <w:spacing w:line="600" w:lineRule="exact"/>
        <w:ind w:firstLine="562" w:firstLineChars="200"/>
        <w:jc w:val="left"/>
        <w:rPr>
          <w:rFonts w:ascii="黑体" w:hAnsi="宋体" w:eastAsia="黑体"/>
          <w:b/>
          <w:bCs/>
          <w:sz w:val="28"/>
          <w:szCs w:val="22"/>
        </w:rPr>
      </w:pPr>
      <w:r>
        <w:rPr>
          <w:rFonts w:hint="eastAsia" w:ascii="黑体" w:hAnsi="宋体" w:eastAsia="黑体"/>
          <w:b/>
          <w:bCs/>
          <w:sz w:val="28"/>
          <w:szCs w:val="22"/>
        </w:rPr>
        <w:t>（三）</w:t>
      </w:r>
      <w:r>
        <w:rPr>
          <w:rFonts w:hint="eastAsia" w:ascii="楷体_GB2312" w:hAnsi="宋体" w:eastAsia="楷体_GB2312"/>
          <w:b/>
          <w:bCs w:val="0"/>
          <w:sz w:val="28"/>
          <w:szCs w:val="36"/>
        </w:rPr>
        <w:t>资金投入使用情况</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根据《四川省财政厅关于2020年省级生态环境保护专项资金（第三批）支出预算的通知》（川财资环〔2020〕43号），我单位2020年收到省财政厅拨付“四川省重点行业企业用地调查采样项目”专项资金1,146.00万元，专项资金到位及时。</w:t>
      </w:r>
    </w:p>
    <w:p>
      <w:pPr>
        <w:pStyle w:val="2"/>
        <w:spacing w:beforeLines="-2147483648" w:line="360" w:lineRule="auto"/>
        <w:ind w:firstLine="560" w:firstLineChars="200"/>
        <w:rPr>
          <w:rFonts w:hint="eastAsia" w:ascii="Times New Roman" w:eastAsia="宋体"/>
          <w:kern w:val="2"/>
          <w:sz w:val="28"/>
          <w:szCs w:val="22"/>
        </w:rPr>
      </w:pPr>
      <w:r>
        <w:rPr>
          <w:rFonts w:hint="eastAsia" w:ascii="Times New Roman" w:hAnsi="Times New Roman" w:eastAsia="宋体" w:cs="Times New Roman"/>
          <w:kern w:val="2"/>
          <w:sz w:val="28"/>
          <w:szCs w:val="22"/>
        </w:rPr>
        <w:t>我公司依据《四川省重点行业企业用地调查分析（2020年）预算书》和《土壤污染防治专项资金管理办法》（川财环〔2019〕11号）对专项资金支出进行管理。截止2020年9月底，四川省重点行业企业用地调查分析工作实际支出合计1265.69万元（其中政府专项资金1146.00万元，企业自筹资金119.69万元），其中人员费729.77万元，专用材料和燃料费282.81万元，咨询劳务费4.67万元，设备使用费101.18万元，维修（护）费74.46万元，其他费用19.4万元，办公费9.74万元，印刷费8.30万元，房租水电物业费34.03万元，交通费0.03万元，会议费1.30万元。专项资金执行率为100%。</w:t>
      </w:r>
    </w:p>
    <w:p>
      <w:pPr>
        <w:tabs>
          <w:tab w:val="left" w:pos="3885"/>
        </w:tabs>
        <w:snapToGrid w:val="0"/>
        <w:spacing w:line="600" w:lineRule="exact"/>
        <w:ind w:firstLine="562" w:firstLineChars="200"/>
        <w:jc w:val="left"/>
        <w:rPr>
          <w:rFonts w:ascii="黑体" w:hAnsi="宋体" w:eastAsia="黑体"/>
          <w:b/>
          <w:bCs/>
          <w:sz w:val="28"/>
          <w:szCs w:val="22"/>
        </w:rPr>
      </w:pPr>
      <w:r>
        <w:rPr>
          <w:rFonts w:hint="eastAsia" w:ascii="黑体" w:hAnsi="宋体" w:eastAsia="黑体"/>
          <w:b/>
          <w:bCs/>
          <w:sz w:val="28"/>
          <w:szCs w:val="22"/>
        </w:rPr>
        <w:t>（四）</w:t>
      </w:r>
      <w:r>
        <w:rPr>
          <w:rFonts w:hint="eastAsia" w:ascii="楷体_GB2312" w:hAnsi="宋体" w:eastAsia="楷体_GB2312"/>
          <w:b/>
          <w:bCs w:val="0"/>
          <w:sz w:val="28"/>
          <w:szCs w:val="36"/>
        </w:rPr>
        <w:t>项目绩效目标</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根据布点方案，进行现场采样，对样品进行实验分析，出具实验结果及监测报告，为风险分级工作和优先管控名录建立提供科学依据。至2020年10月18日，项目共完成了802个地块（不包含1地块无样品）的分析测试任务。其中，纳入分析测试系统中地块795个，试点地块2个，背景点4个，中石油地块1个（吊黄楼）。测试系统中的795个地块中，检测地块391个，比对地块404个。项目数量指标、质量指标、经济指标、社会效益等指标均达到预期目标。</w:t>
      </w:r>
    </w:p>
    <w:p>
      <w:pPr>
        <w:pStyle w:val="2"/>
        <w:snapToGrid w:val="0"/>
        <w:spacing w:line="600" w:lineRule="exact"/>
        <w:ind w:firstLine="562"/>
        <w:rPr>
          <w:rFonts w:ascii="黑体" w:hAnsi="黑体" w:eastAsia="黑体" w:cs="黑体"/>
          <w:b/>
          <w:bCs/>
        </w:rPr>
      </w:pPr>
      <w:r>
        <w:rPr>
          <w:rFonts w:hint="eastAsia" w:ascii="黑体" w:hAnsi="黑体" w:eastAsia="黑体" w:cs="黑体"/>
          <w:b/>
          <w:bCs/>
        </w:rPr>
        <w:t>二、评价工作开展情况</w:t>
      </w:r>
    </w:p>
    <w:p>
      <w:pPr>
        <w:numPr>
          <w:ilvl w:val="0"/>
          <w:numId w:val="8"/>
        </w:numPr>
        <w:adjustRightInd w:val="0"/>
        <w:snapToGrid w:val="0"/>
        <w:spacing w:line="580" w:lineRule="exact"/>
        <w:ind w:firstLine="720"/>
        <w:rPr>
          <w:rFonts w:ascii="黑体" w:hAnsi="宋体" w:eastAsia="黑体"/>
          <w:b/>
          <w:bCs/>
          <w:sz w:val="28"/>
          <w:szCs w:val="22"/>
        </w:rPr>
      </w:pPr>
      <w:r>
        <w:rPr>
          <w:rFonts w:hint="eastAsia" w:ascii="黑体" w:hAnsi="宋体" w:eastAsia="黑体"/>
          <w:b/>
          <w:bCs/>
          <w:sz w:val="28"/>
          <w:szCs w:val="22"/>
        </w:rPr>
        <w:t>组织情况</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根据财政部门的相关要求，我单位高度重视，结合绩效管理系统评分表设置了评价指标体系，运用一定的量化指标及评价标准，由项目经理组织相关人员认真组织本项目支出绩效自评，对单位所确定的绩效目标的实现程度、预算的执行结果进行综合性评价。</w:t>
      </w:r>
    </w:p>
    <w:p>
      <w:pPr>
        <w:numPr>
          <w:ilvl w:val="0"/>
          <w:numId w:val="8"/>
        </w:numPr>
        <w:adjustRightInd w:val="0"/>
        <w:snapToGrid w:val="0"/>
        <w:spacing w:line="580" w:lineRule="exact"/>
        <w:ind w:firstLine="720"/>
        <w:rPr>
          <w:rFonts w:ascii="黑体" w:hAnsi="宋体" w:eastAsia="黑体"/>
          <w:b/>
          <w:bCs/>
          <w:sz w:val="28"/>
          <w:szCs w:val="22"/>
        </w:rPr>
      </w:pPr>
      <w:r>
        <w:rPr>
          <w:rFonts w:hint="eastAsia" w:ascii="黑体" w:hAnsi="宋体" w:eastAsia="黑体"/>
          <w:b/>
          <w:bCs/>
          <w:sz w:val="28"/>
          <w:szCs w:val="22"/>
        </w:rPr>
        <w:t>指标体系</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绩效评价指标主要包括完成指标、效益指标、满意度指标3个一级指标。</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完成指标下设：数量指标（完成重点行业企业用地调查土壤及地下水采样、制样分析、质控、数据上报等指标数量）、质量指标（调查数据通过国家质量审核）、时效指标（完成2020年度工作计划时间）、成本指标（项目实施未超出预算）4个二级指标（4个三级指标）。</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效益指标下设：经济效益指标（重点行业企业用地调查项目经济效益）、社会效益指标（污染地块安全利用率）生态效益指标（调查范围内土壤风险防患防控率）、可持续影响指标（掌握重点行业企业用地基本情况）4个二级指标（4个三级指标）。</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满意度指标下设：满意度指标（详查数据服务对象满意度）1个二级指标（1个三级指标）。</w:t>
      </w:r>
    </w:p>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评价方法</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预算单位自评价方法总体采用目标比较法，采取定性与定量评价相结合的方式，通过召开座谈会听取介绍、核对财务账目、检查档案资料等方式，主要采用目标评价法、询问查证法、公众评议法等方法，现场评价与资料评价相结合，对本项目支出绩效自评中的总体目标和各项绩效指标逐项进行评价分析。</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自评得分总分根据自评表设定的各项指标得分汇总形成。</w:t>
      </w:r>
    </w:p>
    <w:p>
      <w:pPr>
        <w:numPr>
          <w:ilvl w:val="0"/>
          <w:numId w:val="8"/>
        </w:numPr>
        <w:adjustRightInd w:val="0"/>
        <w:snapToGrid w:val="0"/>
        <w:spacing w:line="580" w:lineRule="exact"/>
        <w:ind w:firstLine="720"/>
        <w:rPr>
          <w:rFonts w:ascii="楷体_GB2312" w:hAnsi="宋体" w:eastAsia="楷体_GB2312"/>
          <w:b/>
          <w:sz w:val="28"/>
          <w:szCs w:val="36"/>
        </w:rPr>
      </w:pPr>
      <w:r>
        <w:rPr>
          <w:rFonts w:hint="eastAsia" w:ascii="楷体_GB2312" w:hAnsi="宋体" w:eastAsia="楷体_GB2312"/>
          <w:b/>
          <w:sz w:val="28"/>
          <w:szCs w:val="36"/>
        </w:rPr>
        <w:t>评分标准</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本次绩效评价采用百分制，各级指标依据其指标权重确定分值，最终得分由各级评价指标得分加总形成。根据最终得分将评价标准分为四个等级：优（得分≥90分）；良（80分≤得分＜90分）；中（60≤得分＜80分）；差（得分＜60分）</w:t>
      </w:r>
    </w:p>
    <w:p>
      <w:pPr>
        <w:pStyle w:val="2"/>
        <w:spacing w:beforeLines="-2147483648" w:line="360" w:lineRule="auto"/>
        <w:ind w:firstLine="560" w:firstLineChars="200"/>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定性指标分析得分主要根据相关指标的完成情况，分为未达到年度指标值并且效果较差、部分达到实现年度指标值并具有一定效果、达到完成年度指标值三个档次，在此基础上，可按照该指标的对应分值区间，如0%-60%、60%（含）-80%、80%（含）-100%，合理计算确定指标分值。</w:t>
      </w:r>
    </w:p>
    <w:p>
      <w:pPr>
        <w:pStyle w:val="2"/>
        <w:spacing w:beforeLines="-2147483648" w:line="360" w:lineRule="auto"/>
        <w:ind w:firstLine="560" w:firstLineChars="200"/>
        <w:rPr>
          <w:rFonts w:hint="eastAsia" w:ascii="Times New Roman" w:hAnsi="Times New Roman" w:eastAsia="宋体" w:cs="Times New Roman"/>
          <w:kern w:val="2"/>
          <w:sz w:val="28"/>
          <w:szCs w:val="22"/>
        </w:rPr>
        <w:sectPr>
          <w:pgSz w:w="11906" w:h="16838"/>
          <w:pgMar w:top="1440" w:right="1800" w:bottom="1440" w:left="1800" w:header="851" w:footer="992" w:gutter="0"/>
          <w:pgNumType w:fmt="decimal"/>
          <w:cols w:space="425" w:num="1"/>
          <w:docGrid w:type="lines" w:linePitch="435" w:charSpace="0"/>
        </w:sectPr>
      </w:pPr>
      <w:r>
        <w:rPr>
          <w:rFonts w:hint="eastAsia" w:ascii="Times New Roman" w:hAnsi="Times New Roman" w:eastAsia="宋体" w:cs="Times New Roman"/>
          <w:kern w:val="2"/>
          <w:sz w:val="28"/>
          <w:szCs w:val="22"/>
        </w:rPr>
        <w:t>定量指标分析得分主要是通过各项指标实际完成值与年初指标值相比，如果是完成指标值的，就按该指标所赋的全部权重计算分值，同时对其完成值高于指标值较多的，还必须认真分析其原因，分析结果如发现是由于年初指标值设定明显偏低造成的，那么就要按照偏离程度进行适当调减分值；对于未完成指标值的，要按照完成值与指标值的完成比例相应计算记分</w:t>
      </w:r>
    </w:p>
    <w:p>
      <w:pPr>
        <w:pStyle w:val="2"/>
        <w:snapToGrid w:val="0"/>
        <w:spacing w:line="600" w:lineRule="exact"/>
        <w:ind w:firstLine="562"/>
        <w:rPr>
          <w:rFonts w:ascii="黑体" w:hAnsi="黑体" w:eastAsia="黑体" w:cs="黑体"/>
          <w:b/>
          <w:bCs/>
        </w:rPr>
      </w:pPr>
      <w:r>
        <w:rPr>
          <w:rFonts w:hint="eastAsia" w:ascii="黑体" w:hAnsi="黑体" w:eastAsia="黑体" w:cs="黑体"/>
          <w:b/>
          <w:bCs/>
        </w:rPr>
        <w:t>三</w:t>
      </w:r>
      <w:r>
        <w:rPr>
          <w:rFonts w:ascii="黑体" w:hAnsi="黑体" w:eastAsia="黑体" w:cs="黑体"/>
          <w:b/>
          <w:bCs/>
        </w:rPr>
        <w:t>、</w:t>
      </w:r>
      <w:r>
        <w:rPr>
          <w:rFonts w:hint="eastAsia" w:ascii="黑体" w:hAnsi="黑体" w:eastAsia="黑体" w:cs="黑体"/>
          <w:b/>
          <w:bCs/>
        </w:rPr>
        <w:t>综合评价结论（附评分表）</w:t>
      </w:r>
    </w:p>
    <w:p>
      <w:pPr>
        <w:pStyle w:val="2"/>
        <w:ind w:firstLine="560"/>
      </w:pPr>
      <w:r>
        <w:t>本项目综合评分为96分（见表1），评级为优。</w:t>
      </w:r>
    </w:p>
    <w:p>
      <w:pPr>
        <w:jc w:val="center"/>
      </w:pPr>
      <w:r>
        <w:rPr>
          <w:rFonts w:hint="eastAsia" w:ascii="黑体" w:hAnsi="宋体" w:eastAsia="黑体"/>
          <w:sz w:val="28"/>
          <w:szCs w:val="22"/>
        </w:rPr>
        <w:t>表1  评分表</w:t>
      </w:r>
    </w:p>
    <w:tbl>
      <w:tblPr>
        <w:tblStyle w:val="13"/>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268"/>
        <w:gridCol w:w="4253"/>
        <w:gridCol w:w="1276"/>
        <w:gridCol w:w="1559"/>
        <w:gridCol w:w="3061"/>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bookmarkStart w:id="131" w:name="_Hlk75352460"/>
            <w:r>
              <w:rPr>
                <w:rFonts w:hint="eastAsia" w:ascii="仿宋_GB2312" w:hAnsi="宋体"/>
                <w:b/>
                <w:bCs/>
                <w:sz w:val="24"/>
                <w:szCs w:val="24"/>
              </w:rPr>
              <w:t>一级指标</w:t>
            </w:r>
          </w:p>
        </w:tc>
        <w:tc>
          <w:tcPr>
            <w:tcW w:w="2268"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二级指标</w:t>
            </w:r>
          </w:p>
        </w:tc>
        <w:tc>
          <w:tcPr>
            <w:tcW w:w="425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三级指标</w:t>
            </w:r>
          </w:p>
        </w:tc>
        <w:tc>
          <w:tcPr>
            <w:tcW w:w="1276"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指标分值</w:t>
            </w:r>
          </w:p>
        </w:tc>
        <w:tc>
          <w:tcPr>
            <w:tcW w:w="4620" w:type="dxa"/>
            <w:gridSpan w:val="2"/>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评分标准</w:t>
            </w:r>
          </w:p>
        </w:tc>
        <w:tc>
          <w:tcPr>
            <w:tcW w:w="743" w:type="dxa"/>
            <w:vMerge w:val="restart"/>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指标得分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Merge w:val="continue"/>
            <w:vAlign w:val="center"/>
          </w:tcPr>
          <w:p>
            <w:pPr>
              <w:pStyle w:val="2"/>
              <w:spacing w:line="240" w:lineRule="auto"/>
              <w:ind w:firstLine="0" w:firstLineChars="0"/>
              <w:jc w:val="center"/>
              <w:rPr>
                <w:rFonts w:ascii="仿宋_GB2312" w:hAnsi="宋体"/>
                <w:b/>
                <w:bCs/>
                <w:sz w:val="24"/>
                <w:szCs w:val="24"/>
              </w:rPr>
            </w:pPr>
          </w:p>
        </w:tc>
        <w:tc>
          <w:tcPr>
            <w:tcW w:w="4253" w:type="dxa"/>
            <w:vMerge w:val="continue"/>
            <w:vAlign w:val="center"/>
          </w:tcPr>
          <w:p>
            <w:pPr>
              <w:pStyle w:val="2"/>
              <w:spacing w:line="240" w:lineRule="auto"/>
              <w:ind w:firstLine="0" w:firstLineChars="0"/>
              <w:jc w:val="center"/>
              <w:rPr>
                <w:rFonts w:ascii="仿宋_GB2312" w:hAnsi="宋体"/>
                <w:b/>
                <w:bCs/>
                <w:sz w:val="24"/>
                <w:szCs w:val="24"/>
              </w:rPr>
            </w:pPr>
          </w:p>
        </w:tc>
        <w:tc>
          <w:tcPr>
            <w:tcW w:w="1276" w:type="dxa"/>
            <w:vMerge w:val="continue"/>
            <w:vAlign w:val="center"/>
          </w:tcPr>
          <w:p>
            <w:pPr>
              <w:pStyle w:val="2"/>
              <w:spacing w:line="240" w:lineRule="auto"/>
              <w:ind w:firstLine="0" w:firstLineChars="0"/>
              <w:jc w:val="center"/>
              <w:rPr>
                <w:rFonts w:ascii="仿宋_GB2312" w:hAnsi="宋体"/>
                <w:b/>
                <w:bCs/>
                <w:sz w:val="24"/>
                <w:szCs w:val="24"/>
              </w:rPr>
            </w:pP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方法归类</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计算方式</w:t>
            </w:r>
          </w:p>
        </w:tc>
        <w:tc>
          <w:tcPr>
            <w:tcW w:w="743" w:type="dxa"/>
            <w:vMerge w:val="continue"/>
            <w:vAlign w:val="center"/>
          </w:tcPr>
          <w:p>
            <w:pPr>
              <w:pStyle w:val="2"/>
              <w:spacing w:line="240" w:lineRule="auto"/>
              <w:ind w:firstLine="0" w:firstLineChars="0"/>
              <w:jc w:val="center"/>
              <w:rPr>
                <w:rFonts w:ascii="仿宋_GB2312"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完成指标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数量指标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完成重点行业企业用地调查土壤及地下水采样、制样分析、质控、数据上报等指标数量</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c>
          <w:tcPr>
            <w:tcW w:w="1559"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 w:val="24"/>
                <w:szCs w:val="24"/>
              </w:rPr>
              <w:t>比率分值法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指标得分=实际完成任务量/绩效目标设定任务量×100%*指标分值</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质量指标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调查数据通过国家质量审核</w:t>
            </w:r>
          </w:p>
        </w:tc>
        <w:tc>
          <w:tcPr>
            <w:tcW w:w="1276"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20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2</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时效指标</w:t>
            </w:r>
          </w:p>
        </w:tc>
        <w:tc>
          <w:tcPr>
            <w:tcW w:w="4253" w:type="dxa"/>
          </w:tcPr>
          <w:p>
            <w:pPr>
              <w:pStyle w:val="2"/>
              <w:spacing w:line="240" w:lineRule="auto"/>
              <w:ind w:firstLine="0" w:firstLineChars="0"/>
              <w:jc w:val="center"/>
              <w:rPr>
                <w:rFonts w:ascii="仿宋_GB2312" w:hAnsi="宋体"/>
                <w:b/>
                <w:bCs/>
                <w:sz w:val="24"/>
                <w:szCs w:val="24"/>
              </w:rPr>
            </w:pPr>
            <w:r>
              <w:rPr>
                <w:rFonts w:hint="eastAsia"/>
              </w:rPr>
              <w:t>完成2</w:t>
            </w:r>
            <w:r>
              <w:t>020</w:t>
            </w:r>
            <w:r>
              <w:rPr>
                <w:rFonts w:hint="eastAsia"/>
              </w:rPr>
              <w:t>年度工作计划时间</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成本指标</w:t>
            </w:r>
          </w:p>
        </w:tc>
        <w:tc>
          <w:tcPr>
            <w:tcW w:w="4253" w:type="dxa"/>
          </w:tcPr>
          <w:p>
            <w:pPr>
              <w:pStyle w:val="2"/>
              <w:spacing w:line="240" w:lineRule="auto"/>
              <w:ind w:firstLine="0" w:firstLineChars="0"/>
              <w:jc w:val="center"/>
            </w:pPr>
            <w:r>
              <w:rPr>
                <w:rFonts w:hint="eastAsia"/>
              </w:rPr>
              <w:t>项目实施未超出预算</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szCs w:val="24"/>
              </w:rPr>
              <w:t xml:space="preserve">0-否 </w:t>
            </w:r>
            <w:r>
              <w:rPr>
                <w:rFonts w:ascii="仿宋_GB2312" w:hAnsi="宋体"/>
                <w:szCs w:val="24"/>
              </w:rPr>
              <w:t>10</w:t>
            </w:r>
            <w:r>
              <w:rPr>
                <w:rFonts w:hint="eastAsia" w:ascii="仿宋_GB2312" w:hAnsi="宋体"/>
                <w:szCs w:val="24"/>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jc w:val="center"/>
        </w:trPr>
        <w:tc>
          <w:tcPr>
            <w:tcW w:w="1696" w:type="dxa"/>
            <w:vMerge w:val="restart"/>
            <w:vAlign w:val="center"/>
          </w:tcPr>
          <w:p>
            <w:pPr>
              <w:pStyle w:val="2"/>
              <w:spacing w:line="240" w:lineRule="auto"/>
              <w:ind w:firstLine="0" w:firstLineChars="0"/>
              <w:jc w:val="center"/>
              <w:rPr>
                <w:rFonts w:ascii="仿宋_GB2312" w:hAnsi="宋体"/>
                <w:b/>
                <w:bCs/>
                <w:sz w:val="24"/>
                <w:szCs w:val="24"/>
              </w:rPr>
            </w:pPr>
            <w:r>
              <w:rPr>
                <w:rFonts w:hint="eastAsia"/>
              </w:rPr>
              <w:t>效益指标</w:t>
            </w:r>
          </w:p>
        </w:tc>
        <w:tc>
          <w:tcPr>
            <w:tcW w:w="2268" w:type="dxa"/>
            <w:vAlign w:val="center"/>
          </w:tcPr>
          <w:p>
            <w:pPr>
              <w:pStyle w:val="2"/>
              <w:spacing w:line="240" w:lineRule="auto"/>
              <w:ind w:firstLine="0" w:firstLineChars="0"/>
              <w:jc w:val="center"/>
            </w:pPr>
            <w:r>
              <w:rPr>
                <w:rFonts w:hint="eastAsia"/>
              </w:rPr>
              <w:t>经济效益指标</w:t>
            </w:r>
          </w:p>
        </w:tc>
        <w:tc>
          <w:tcPr>
            <w:tcW w:w="4253" w:type="dxa"/>
          </w:tcPr>
          <w:p>
            <w:pPr>
              <w:pStyle w:val="2"/>
              <w:spacing w:line="240" w:lineRule="auto"/>
              <w:ind w:firstLine="0" w:firstLineChars="0"/>
              <w:jc w:val="center"/>
            </w:pPr>
          </w:p>
          <w:p>
            <w:pPr>
              <w:pStyle w:val="2"/>
              <w:spacing w:line="240" w:lineRule="auto"/>
              <w:ind w:firstLine="0" w:firstLineChars="0"/>
              <w:jc w:val="center"/>
            </w:pPr>
            <w:r>
              <w:rPr>
                <w:rFonts w:hint="eastAsia"/>
              </w:rPr>
              <w:t>资金使用率</w:t>
            </w:r>
          </w:p>
        </w:tc>
        <w:tc>
          <w:tcPr>
            <w:tcW w:w="1276" w:type="dxa"/>
            <w:vAlign w:val="center"/>
          </w:tcPr>
          <w:p>
            <w:pPr>
              <w:pStyle w:val="2"/>
              <w:spacing w:line="240" w:lineRule="auto"/>
              <w:ind w:firstLine="0" w:firstLineChars="0"/>
              <w:jc w:val="center"/>
            </w:pPr>
            <w: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比率分值法</w:t>
            </w:r>
          </w:p>
        </w:tc>
        <w:tc>
          <w:tcPr>
            <w:tcW w:w="3061" w:type="dxa"/>
            <w:vAlign w:val="center"/>
          </w:tcPr>
          <w:p>
            <w:pPr>
              <w:pStyle w:val="2"/>
              <w:spacing w:line="240" w:lineRule="auto"/>
              <w:ind w:firstLine="0" w:firstLineChars="0"/>
              <w:jc w:val="center"/>
            </w:pPr>
            <w:r>
              <w:rPr>
                <w:rFonts w:hint="eastAsia"/>
              </w:rPr>
              <w:t>指标得分=资金实际使用金额/资金实际拨付金额×100%*指标分值</w:t>
            </w:r>
          </w:p>
        </w:tc>
        <w:tc>
          <w:tcPr>
            <w:tcW w:w="743" w:type="dxa"/>
            <w:vAlign w:val="center"/>
          </w:tcPr>
          <w:p>
            <w:pPr>
              <w:pStyle w:val="2"/>
              <w:spacing w:line="240" w:lineRule="auto"/>
              <w:ind w:firstLine="0" w:firstLineChars="0"/>
              <w:jc w:val="center"/>
              <w:rPr>
                <w:rFonts w:ascii="仿宋_GB2312" w:hAnsi="宋体"/>
                <w:b/>
                <w:bCs/>
                <w:sz w:val="24"/>
                <w:szCs w:val="24"/>
              </w:rPr>
            </w:pPr>
            <w:r>
              <w:rPr>
                <w:rFonts w:hint="eastAsia" w:ascii="仿宋_GB2312" w:hAnsi="宋体"/>
                <w:b/>
                <w:bCs/>
                <w:sz w:val="24"/>
                <w:szCs w:val="24"/>
              </w:rPr>
              <w:t>1</w:t>
            </w:r>
            <w:r>
              <w:rPr>
                <w:rFonts w:ascii="仿宋_GB2312" w:hAnsi="宋体"/>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社会效益指标</w:t>
            </w:r>
          </w:p>
        </w:tc>
        <w:tc>
          <w:tcPr>
            <w:tcW w:w="4253" w:type="dxa"/>
            <w:vAlign w:val="center"/>
          </w:tcPr>
          <w:p>
            <w:pPr>
              <w:pStyle w:val="2"/>
              <w:spacing w:line="240" w:lineRule="auto"/>
              <w:ind w:firstLine="0" w:firstLineChars="0"/>
              <w:jc w:val="center"/>
            </w:pPr>
            <w:r>
              <w:rPr>
                <w:rFonts w:hint="eastAsia"/>
              </w:rPr>
              <w:t>污染地块安全利用率</w:t>
            </w:r>
          </w:p>
        </w:tc>
        <w:tc>
          <w:tcPr>
            <w:tcW w:w="1276" w:type="dxa"/>
            <w:vAlign w:val="center"/>
          </w:tcPr>
          <w:p>
            <w:pPr>
              <w:pStyle w:val="2"/>
              <w:spacing w:line="240" w:lineRule="auto"/>
              <w:ind w:firstLine="0" w:firstLineChars="0"/>
              <w:jc w:val="center"/>
            </w:pPr>
            <w:r>
              <w:t>8</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pPr>
            <w:r>
              <w:t>0-4</w:t>
            </w:r>
            <w:r>
              <w:rPr>
                <w:rFonts w:hint="eastAsia"/>
              </w:rPr>
              <w:t xml:space="preserve">-低 </w:t>
            </w:r>
            <w:r>
              <w:t>5-7</w:t>
            </w:r>
            <w:r>
              <w:rPr>
                <w:rFonts w:hint="eastAsia"/>
              </w:rPr>
              <w:t xml:space="preserve">-中 </w:t>
            </w:r>
            <w:r>
              <w:t>8</w:t>
            </w:r>
            <w:r>
              <w:rPr>
                <w:rFonts w:hint="eastAsia"/>
              </w:rPr>
              <w:t>-高</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生态效益指标</w:t>
            </w:r>
          </w:p>
        </w:tc>
        <w:tc>
          <w:tcPr>
            <w:tcW w:w="4253" w:type="dxa"/>
            <w:vAlign w:val="center"/>
          </w:tcPr>
          <w:p>
            <w:pPr>
              <w:pStyle w:val="2"/>
              <w:spacing w:line="240" w:lineRule="auto"/>
              <w:ind w:firstLine="0" w:firstLineChars="0"/>
              <w:jc w:val="center"/>
            </w:pPr>
            <w:r>
              <w:rPr>
                <w:rFonts w:hint="eastAsia"/>
              </w:rPr>
              <w:t>调查范围内土壤风险防患防控率</w:t>
            </w:r>
          </w:p>
        </w:tc>
        <w:tc>
          <w:tcPr>
            <w:tcW w:w="1276" w:type="dxa"/>
            <w:vAlign w:val="center"/>
          </w:tcPr>
          <w:p>
            <w:pPr>
              <w:pStyle w:val="2"/>
              <w:spacing w:line="240" w:lineRule="auto"/>
              <w:ind w:firstLine="0" w:firstLineChars="0"/>
              <w:jc w:val="center"/>
            </w:pPr>
            <w:r>
              <w:t>6</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pPr>
            <w:r>
              <w:t>0-3</w:t>
            </w:r>
            <w:r>
              <w:rPr>
                <w:rFonts w:hint="eastAsia"/>
              </w:rPr>
              <w:t xml:space="preserve">-低 </w:t>
            </w:r>
            <w:r>
              <w:t>3-5</w:t>
            </w:r>
            <w:r>
              <w:rPr>
                <w:rFonts w:hint="eastAsia"/>
              </w:rPr>
              <w:t xml:space="preserve">-中 </w:t>
            </w:r>
            <w:r>
              <w:t>6</w:t>
            </w:r>
            <w:r>
              <w:rPr>
                <w:rFonts w:hint="eastAsia"/>
              </w:rPr>
              <w:t>-高</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2"/>
              <w:spacing w:line="240" w:lineRule="auto"/>
              <w:ind w:firstLine="0" w:firstLineChars="0"/>
              <w:jc w:val="center"/>
              <w:rPr>
                <w:rFonts w:ascii="仿宋_GB2312" w:hAnsi="宋体"/>
                <w:b/>
                <w:bCs/>
                <w:sz w:val="24"/>
                <w:szCs w:val="24"/>
              </w:rPr>
            </w:pPr>
          </w:p>
        </w:tc>
        <w:tc>
          <w:tcPr>
            <w:tcW w:w="2268" w:type="dxa"/>
            <w:vAlign w:val="center"/>
          </w:tcPr>
          <w:p>
            <w:pPr>
              <w:pStyle w:val="2"/>
              <w:spacing w:line="240" w:lineRule="auto"/>
              <w:ind w:firstLine="0" w:firstLineChars="0"/>
              <w:jc w:val="center"/>
            </w:pPr>
            <w:r>
              <w:rPr>
                <w:rFonts w:hint="eastAsia"/>
              </w:rPr>
              <w:t>可持续影响指标</w:t>
            </w:r>
          </w:p>
        </w:tc>
        <w:tc>
          <w:tcPr>
            <w:tcW w:w="4253" w:type="dxa"/>
            <w:vAlign w:val="center"/>
          </w:tcPr>
          <w:p>
            <w:pPr>
              <w:pStyle w:val="2"/>
              <w:spacing w:line="240" w:lineRule="auto"/>
              <w:ind w:firstLine="0" w:firstLineChars="0"/>
              <w:jc w:val="center"/>
            </w:pPr>
            <w:r>
              <w:rPr>
                <w:rFonts w:hint="eastAsia"/>
              </w:rPr>
              <w:t>掌握重点行业企业用地基本情况</w:t>
            </w:r>
          </w:p>
        </w:tc>
        <w:tc>
          <w:tcPr>
            <w:tcW w:w="1276" w:type="dxa"/>
            <w:vAlign w:val="center"/>
          </w:tcPr>
          <w:p>
            <w:pPr>
              <w:pStyle w:val="2"/>
              <w:spacing w:line="240" w:lineRule="auto"/>
              <w:ind w:firstLine="0" w:firstLineChars="0"/>
              <w:jc w:val="center"/>
            </w:pPr>
            <w:r>
              <w:rPr>
                <w:rFonts w:hint="eastAsia"/>
              </w:rPr>
              <w:t>6</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是否评分法</w:t>
            </w:r>
          </w:p>
        </w:tc>
        <w:tc>
          <w:tcPr>
            <w:tcW w:w="3061" w:type="dxa"/>
            <w:vAlign w:val="center"/>
          </w:tcPr>
          <w:p>
            <w:pPr>
              <w:pStyle w:val="2"/>
              <w:spacing w:line="240" w:lineRule="auto"/>
              <w:ind w:firstLine="0" w:firstLineChars="0"/>
              <w:jc w:val="center"/>
            </w:pPr>
            <w:r>
              <w:rPr>
                <w:rFonts w:hint="eastAsia"/>
              </w:rPr>
              <w:t xml:space="preserve">0-否 </w:t>
            </w:r>
            <w:r>
              <w:t>6</w:t>
            </w:r>
            <w:r>
              <w:rPr>
                <w:rFonts w:hint="eastAsia"/>
              </w:rPr>
              <w:t>-是</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96"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2268" w:type="dxa"/>
            <w:vAlign w:val="center"/>
          </w:tcPr>
          <w:p>
            <w:pPr>
              <w:pStyle w:val="2"/>
              <w:spacing w:line="240" w:lineRule="auto"/>
              <w:ind w:firstLine="0" w:firstLineChars="0"/>
              <w:jc w:val="center"/>
              <w:rPr>
                <w:rFonts w:ascii="仿宋_GB2312" w:hAnsi="宋体"/>
                <w:b/>
                <w:bCs/>
                <w:sz w:val="24"/>
                <w:szCs w:val="24"/>
              </w:rPr>
            </w:pPr>
            <w:r>
              <w:rPr>
                <w:rFonts w:hint="eastAsia"/>
              </w:rPr>
              <w:t>满意度指标</w:t>
            </w:r>
          </w:p>
        </w:tc>
        <w:tc>
          <w:tcPr>
            <w:tcW w:w="4253" w:type="dxa"/>
            <w:vAlign w:val="center"/>
          </w:tcPr>
          <w:p>
            <w:pPr>
              <w:pStyle w:val="2"/>
              <w:spacing w:line="240" w:lineRule="auto"/>
              <w:ind w:firstLine="0" w:firstLineChars="0"/>
              <w:jc w:val="center"/>
              <w:rPr>
                <w:rFonts w:ascii="仿宋_GB2312" w:hAnsi="宋体"/>
                <w:b/>
                <w:bCs/>
                <w:sz w:val="24"/>
                <w:szCs w:val="24"/>
              </w:rPr>
            </w:pPr>
            <w:r>
              <w:rPr>
                <w:rFonts w:hint="eastAsia"/>
              </w:rPr>
              <w:t>详查数据服务对象满意度</w:t>
            </w:r>
          </w:p>
        </w:tc>
        <w:tc>
          <w:tcPr>
            <w:tcW w:w="1276"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10</w:t>
            </w:r>
          </w:p>
        </w:tc>
        <w:tc>
          <w:tcPr>
            <w:tcW w:w="1559" w:type="dxa"/>
            <w:vAlign w:val="center"/>
          </w:tcPr>
          <w:p>
            <w:pPr>
              <w:pStyle w:val="2"/>
              <w:spacing w:line="240" w:lineRule="auto"/>
              <w:ind w:firstLine="0" w:firstLineChars="0"/>
              <w:jc w:val="center"/>
              <w:rPr>
                <w:rFonts w:ascii="仿宋_GB2312" w:hAnsi="宋体"/>
                <w:sz w:val="24"/>
                <w:szCs w:val="24"/>
              </w:rPr>
            </w:pPr>
            <w:r>
              <w:rPr>
                <w:rFonts w:hint="eastAsia" w:ascii="仿宋_GB2312" w:hAnsi="宋体"/>
                <w:sz w:val="24"/>
                <w:szCs w:val="24"/>
              </w:rPr>
              <w:t>分级评分法</w:t>
            </w:r>
          </w:p>
        </w:tc>
        <w:tc>
          <w:tcPr>
            <w:tcW w:w="3061" w:type="dxa"/>
            <w:vAlign w:val="center"/>
          </w:tcPr>
          <w:p>
            <w:pPr>
              <w:pStyle w:val="2"/>
              <w:spacing w:line="240" w:lineRule="auto"/>
              <w:ind w:firstLine="0" w:firstLineChars="0"/>
              <w:jc w:val="center"/>
              <w:rPr>
                <w:rFonts w:ascii="仿宋_GB2312" w:hAnsi="宋体"/>
                <w:b/>
                <w:bCs/>
                <w:sz w:val="24"/>
                <w:szCs w:val="24"/>
              </w:rPr>
            </w:pPr>
            <w:r>
              <w:rPr>
                <w:rFonts w:ascii="仿宋_GB2312" w:hAnsi="宋体"/>
                <w:szCs w:val="24"/>
              </w:rPr>
              <w:t>1-3</w:t>
            </w:r>
            <w:r>
              <w:rPr>
                <w:rFonts w:hint="eastAsia" w:ascii="仿宋_GB2312" w:hAnsi="宋体"/>
                <w:szCs w:val="24"/>
              </w:rPr>
              <w:t xml:space="preserve">-不满意 </w:t>
            </w:r>
            <w:r>
              <w:rPr>
                <w:rFonts w:ascii="仿宋_GB2312" w:hAnsi="宋体"/>
                <w:szCs w:val="24"/>
              </w:rPr>
              <w:t>4-9</w:t>
            </w:r>
            <w:r>
              <w:rPr>
                <w:rFonts w:hint="eastAsia" w:ascii="仿宋_GB2312" w:hAnsi="宋体"/>
                <w:szCs w:val="24"/>
              </w:rPr>
              <w:t xml:space="preserve">-较满意 </w:t>
            </w:r>
            <w:r>
              <w:rPr>
                <w:rFonts w:ascii="仿宋_GB2312" w:hAnsi="宋体"/>
                <w:szCs w:val="24"/>
              </w:rPr>
              <w:t>10</w:t>
            </w:r>
            <w:r>
              <w:rPr>
                <w:rFonts w:hint="eastAsia" w:ascii="仿宋_GB2312" w:hAnsi="宋体"/>
                <w:szCs w:val="24"/>
              </w:rPr>
              <w:t>-满意</w:t>
            </w:r>
          </w:p>
        </w:tc>
        <w:tc>
          <w:tcPr>
            <w:tcW w:w="743" w:type="dxa"/>
            <w:vAlign w:val="center"/>
          </w:tcPr>
          <w:p>
            <w:pPr>
              <w:pStyle w:val="2"/>
              <w:spacing w:line="240" w:lineRule="auto"/>
              <w:ind w:firstLine="0" w:firstLineChars="0"/>
              <w:jc w:val="center"/>
              <w:rPr>
                <w:rFonts w:ascii="仿宋_GB2312" w:hAnsi="宋体"/>
                <w:b/>
                <w:bCs/>
                <w:sz w:val="24"/>
                <w:szCs w:val="24"/>
              </w:rPr>
            </w:pPr>
            <w:r>
              <w:rPr>
                <w:rFonts w:ascii="仿宋_GB2312" w:hAnsi="宋体"/>
                <w:b/>
                <w:bCs/>
                <w:sz w:val="24"/>
                <w:szCs w:val="24"/>
              </w:rPr>
              <w:t>9</w:t>
            </w:r>
          </w:p>
        </w:tc>
      </w:tr>
      <w:bookmarkEnd w:id="131"/>
    </w:tbl>
    <w:p>
      <w:pPr>
        <w:rPr>
          <w:rFonts w:hint="eastAsia"/>
        </w:rPr>
        <w:sectPr>
          <w:pgSz w:w="16838" w:h="11906" w:orient="landscape"/>
          <w:pgMar w:top="1800" w:right="1440" w:bottom="1800" w:left="1440" w:header="851" w:footer="992" w:gutter="0"/>
          <w:pgNumType w:fmt="decimal"/>
          <w:cols w:space="425" w:num="1"/>
          <w:docGrid w:type="lines" w:linePitch="435" w:charSpace="0"/>
        </w:sectPr>
      </w:pP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四、绩效评价分析</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（一）项目决策情况</w:t>
      </w:r>
    </w:p>
    <w:p>
      <w:pPr>
        <w:pStyle w:val="2"/>
        <w:ind w:firstLine="560"/>
        <w:rPr>
          <w:rFonts w:hint="eastAsia" w:ascii="Times New Roman" w:eastAsia="宋体"/>
          <w:kern w:val="2"/>
          <w:sz w:val="28"/>
          <w:szCs w:val="22"/>
        </w:rPr>
      </w:pPr>
      <w:r>
        <w:rPr>
          <w:rFonts w:hint="eastAsia" w:ascii="Times New Roman" w:eastAsia="宋体"/>
          <w:kern w:val="2"/>
          <w:sz w:val="28"/>
          <w:szCs w:val="22"/>
        </w:rPr>
        <w:t>四川省重点行业企业用地调查是四川省土壤污染状况详查的重要组成部分，是土壤污染防治的基础性工作。开展重点行业企业用地调查，摸清企业用地土壤污染状况，对于建立污染地块清单和优先管控名录，推进建设用地准入管理，实施土壤污染分类别、分用途、分阶段治理，加强土壤环境污染防治和风险管控，维护公众健康，建立和完善我省土壤环境管理体系，提升土壤环境管理水平，促进土壤资源永续利用、保障人居环境安全，具有十分重要的意义。</w:t>
      </w:r>
    </w:p>
    <w:p>
      <w:pPr>
        <w:pStyle w:val="2"/>
        <w:ind w:firstLine="560"/>
        <w:rPr>
          <w:rFonts w:hint="eastAsia" w:ascii="Times New Roman" w:eastAsia="宋体"/>
          <w:kern w:val="2"/>
          <w:sz w:val="28"/>
          <w:szCs w:val="22"/>
        </w:rPr>
      </w:pPr>
      <w:r>
        <w:rPr>
          <w:rFonts w:hint="eastAsia" w:ascii="Times New Roman" w:eastAsia="宋体"/>
          <w:kern w:val="2"/>
          <w:sz w:val="28"/>
          <w:szCs w:val="22"/>
        </w:rPr>
        <w:t>该项目的立项符合国家法律法规、国民经济发展规划和相关政策、符合行业发展规划和政策要求，符合“土壤污染防治行动计划”，与四川省生态环境厅职责范围相符，属于四川省生态环境厅履职所需。根据《四川省环境保护厅办公室关于印发&lt;四川省重点行业企业用地调查实施方案&gt;的通知》（川环办发〔2018〕73号），项目的设立程序符合相关规定，审批文件、材料符合相关要求，且项目的设立经过了必要的可行性研究、专家论证、风险评估、绩效评估、集体决策。同时，四川省重点行业企业用地调查属于中央财政资金支持范围，符合中央支出责任划分原则。</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（二）项目管理情况</w:t>
      </w:r>
    </w:p>
    <w:p>
      <w:pPr>
        <w:pStyle w:val="2"/>
        <w:ind w:firstLine="560"/>
        <w:rPr>
          <w:rFonts w:hint="eastAsia" w:ascii="Times New Roman" w:eastAsia="宋体"/>
          <w:kern w:val="2"/>
          <w:sz w:val="28"/>
          <w:szCs w:val="22"/>
        </w:rPr>
      </w:pPr>
      <w:r>
        <w:rPr>
          <w:rFonts w:hint="eastAsia" w:ascii="Times New Roman" w:eastAsia="宋体"/>
          <w:kern w:val="2"/>
          <w:sz w:val="28"/>
          <w:szCs w:val="22"/>
        </w:rPr>
        <w:t>2.1项目财务管理情况</w:t>
      </w:r>
    </w:p>
    <w:p>
      <w:pPr>
        <w:pStyle w:val="2"/>
        <w:ind w:firstLine="560"/>
        <w:rPr>
          <w:rFonts w:hint="eastAsia" w:ascii="Times New Roman" w:eastAsia="宋体"/>
          <w:kern w:val="2"/>
          <w:sz w:val="28"/>
          <w:szCs w:val="22"/>
        </w:rPr>
      </w:pPr>
      <w:r>
        <w:rPr>
          <w:rFonts w:hint="eastAsia" w:ascii="Times New Roman" w:eastAsia="宋体"/>
          <w:kern w:val="2"/>
          <w:sz w:val="28"/>
          <w:szCs w:val="22"/>
        </w:rPr>
        <w:t>我公司根据《土壤污染状况详查项目财务管理办法》（财资环〔2019〕11号）、四川省财政资金管理相关规定、四川省地质矿产勘查开发局成都水文地质工程队土壤详查专项资金管理办法、四川省地质工程勘察院集团有限公司《土壤污染状况详查项目财务管理办法》相关规定以及公司财务管理制度对专项资金支出进行管理，制定《四川省天晟源环保股份有限公司2020年四川省重点行业企业用地调查分析项目专项绩效管理办法》，设置专项科目对专项资金进行核算，规范资金支付程序，审核原始凭证，及时进行财务处理。</w:t>
      </w:r>
    </w:p>
    <w:p>
      <w:pPr>
        <w:pStyle w:val="2"/>
        <w:ind w:firstLine="560"/>
        <w:rPr>
          <w:rFonts w:hint="eastAsia" w:ascii="Times New Roman" w:eastAsia="宋体"/>
          <w:kern w:val="2"/>
          <w:sz w:val="28"/>
          <w:szCs w:val="22"/>
        </w:rPr>
      </w:pPr>
      <w:r>
        <w:rPr>
          <w:rFonts w:hint="eastAsia" w:ascii="Times New Roman" w:eastAsia="宋体"/>
          <w:kern w:val="2"/>
          <w:sz w:val="28"/>
          <w:szCs w:val="22"/>
        </w:rPr>
        <w:t>2.2项目组织实施情况。</w:t>
      </w:r>
    </w:p>
    <w:p>
      <w:pPr>
        <w:pStyle w:val="2"/>
        <w:ind w:firstLine="560"/>
        <w:rPr>
          <w:rFonts w:hint="eastAsia" w:ascii="Times New Roman" w:eastAsia="宋体"/>
          <w:kern w:val="2"/>
          <w:sz w:val="28"/>
          <w:szCs w:val="22"/>
        </w:rPr>
      </w:pPr>
      <w:r>
        <w:rPr>
          <w:rFonts w:hint="eastAsia" w:ascii="Times New Roman" w:eastAsia="宋体"/>
          <w:kern w:val="2"/>
          <w:sz w:val="28"/>
          <w:szCs w:val="22"/>
        </w:rPr>
        <w:t>2019年四川省启动了重点行业企业用地土壤污染状况详查工作，并要求于2020年年底前掌握全省重点行业企业用地中污染地块的分布及其环境风险情况。</w:t>
      </w:r>
    </w:p>
    <w:p>
      <w:pPr>
        <w:pStyle w:val="2"/>
        <w:ind w:firstLine="560"/>
        <w:rPr>
          <w:rFonts w:hint="eastAsia" w:ascii="Times New Roman" w:eastAsia="宋体"/>
          <w:kern w:val="2"/>
          <w:sz w:val="28"/>
          <w:szCs w:val="22"/>
        </w:rPr>
      </w:pPr>
      <w:r>
        <w:rPr>
          <w:rFonts w:hint="eastAsia" w:ascii="Times New Roman" w:eastAsia="宋体"/>
          <w:color w:val="auto"/>
          <w:kern w:val="2"/>
          <w:sz w:val="28"/>
          <w:szCs w:val="22"/>
          <w:highlight w:val="none"/>
        </w:rPr>
        <w:t>2020年6月，</w:t>
      </w:r>
      <w:r>
        <w:rPr>
          <w:rFonts w:hint="eastAsia" w:ascii="Times New Roman" w:eastAsia="宋体"/>
          <w:kern w:val="2"/>
          <w:sz w:val="28"/>
          <w:szCs w:val="22"/>
        </w:rPr>
        <w:t>我公司参与编制了《四川省重点行业企业用地初步采样调查实施方案》，方案中明确了本项目中各任务承担单位的具体要求与任务分工，明确了项目实施的技术路线。为进一步贯彻落实国家、省级的重点行业企业用地调查技术规定，进一步贯彻落实《四川省重点行业企业用地初步采样调查实施方案》，规范重点行业企业用地调查项目收样、流转、分析、数据审核、数据上报等环节的具体工作，我公司编制了《四川省天晟源环保公司重点行业企业用地项目实施及质量控制方案》并在全流程中严格执行。方案中对人员安排、仪器配置、物资耗材管理、项目开展流程、质量控制方式等方面进行了充分的描述，项目组成员严格按照既定方案开展工作，各环节有条不紊，确保项目如期完成。</w:t>
      </w:r>
    </w:p>
    <w:p>
      <w:pPr>
        <w:pStyle w:val="2"/>
        <w:ind w:firstLine="560"/>
        <w:rPr>
          <w:rFonts w:hint="eastAsia" w:ascii="Times New Roman" w:eastAsia="宋体"/>
          <w:kern w:val="2"/>
          <w:sz w:val="28"/>
          <w:szCs w:val="22"/>
        </w:rPr>
      </w:pPr>
      <w:r>
        <w:rPr>
          <w:rFonts w:hint="eastAsia" w:ascii="Times New Roman" w:eastAsia="宋体"/>
          <w:kern w:val="2"/>
          <w:sz w:val="28"/>
          <w:szCs w:val="22"/>
        </w:rPr>
        <w:t>上述项目的实施方案编制过程中，各个环节、各个责任小组严格按照方案要求进行技术活动。项目组织管理有条不紊，各个小组各司其职，运行流畅。积极与主管部门沟通，上报公司项目开展情况，主管部门定期发布进度通报。及时收集各类资料档案，包括各类指导性文件、内部原始记录、检测报告、质控报告等，保障资料完整、齐全。</w:t>
      </w:r>
    </w:p>
    <w:p>
      <w:pPr>
        <w:pStyle w:val="2"/>
        <w:ind w:firstLine="560"/>
        <w:rPr>
          <w:rFonts w:hint="eastAsia" w:ascii="Times New Roman" w:eastAsia="宋体"/>
          <w:kern w:val="2"/>
          <w:sz w:val="28"/>
          <w:szCs w:val="22"/>
        </w:rPr>
      </w:pPr>
      <w:r>
        <w:rPr>
          <w:rFonts w:hint="eastAsia" w:ascii="Times New Roman" w:eastAsia="宋体"/>
          <w:kern w:val="2"/>
          <w:sz w:val="28"/>
          <w:szCs w:val="22"/>
        </w:rPr>
        <w:t>在四川省生态环境厅、四川省生态环境监测总站、四川省生态环境科学研究院等各级领导的大力支持下，公司通过试点地块，方法验证，交流培训等方式在项目开展前落实技术重难点、掌握项目整体运行模式并及时核算任务量，组织管理和技术人员成立了90余人的项目组。项目组投入样品流转人员12名、分析测试技术人员49名、18名报告审核和数据报送人员、6名后勤人员以及5名仪器设备管理员等各类技术人员，保证了样品流转、测试分析、数据上报表处理，报告审核等各环节专人专用。所有技术人员均进行了多次线上线下相关培训，累计培训400余人次。确保了各环节积极沟通，项目高效流畅。项目开展前期，项目组开展了大量的分析方法验证试验，对各类有机指标进行了优化组合，配合省站进行了指标模块化工作，为全省项目顺利开展预制好了底层逻辑。并派员配合省环科院进行了布点方案专家审核工作。</w:t>
      </w:r>
    </w:p>
    <w:p>
      <w:pPr>
        <w:pStyle w:val="2"/>
        <w:ind w:firstLine="560"/>
        <w:rPr>
          <w:rFonts w:hint="eastAsia" w:ascii="Times New Roman" w:eastAsia="宋体"/>
          <w:kern w:val="2"/>
          <w:sz w:val="28"/>
          <w:szCs w:val="22"/>
        </w:rPr>
      </w:pPr>
      <w:r>
        <w:rPr>
          <w:rFonts w:hint="eastAsia" w:ascii="Times New Roman" w:eastAsia="宋体"/>
          <w:kern w:val="2"/>
          <w:sz w:val="28"/>
          <w:szCs w:val="22"/>
        </w:rPr>
        <w:t>本项目累计投入前处理设备13台/套，分析测试设备19台/套，做到每类项目均有5台套主要承担设备，2台套备用设备。在部分项目有效期极短，任务量极大的情况下保障了按时、保质、保量完成分析测试任务，在四川省率先完成了分配地块的检测任务。</w:t>
      </w:r>
    </w:p>
    <w:p>
      <w:pPr>
        <w:pStyle w:val="2"/>
        <w:ind w:firstLine="560"/>
      </w:pPr>
      <w:r>
        <w:rPr>
          <w:rFonts w:hint="eastAsia" w:ascii="Times New Roman" w:eastAsia="宋体"/>
          <w:kern w:val="2"/>
          <w:sz w:val="28"/>
          <w:szCs w:val="22"/>
        </w:rPr>
        <w:t>年初受疫情影响，项目并未如期开展，项目组未雨绸缪，多次举行在线会议商讨对策。在疫情未严重扩大的情况下便开始在供应商处购买筹备各类国产、进口耗材，租用仓库放置各类关键试剂。在疫情肆虐时，分析测试环节几乎未受疫情影响，保证了分析测试进度。</w:t>
      </w:r>
    </w:p>
    <w:p>
      <w:pPr>
        <w:pStyle w:val="2"/>
        <w:ind w:firstLine="560"/>
        <w:rPr>
          <w:rFonts w:hint="eastAsia" w:ascii="Times New Roman" w:eastAsia="宋体"/>
          <w:kern w:val="2"/>
          <w:sz w:val="28"/>
          <w:szCs w:val="22"/>
        </w:rPr>
      </w:pPr>
      <w:r>
        <w:rPr>
          <w:rFonts w:hint="eastAsia" w:ascii="Times New Roman" w:eastAsia="宋体"/>
          <w:kern w:val="2"/>
          <w:sz w:val="28"/>
          <w:szCs w:val="22"/>
        </w:rPr>
        <w:t>项目组各小组均设置了对外联系人员。分析测试负责人与样品接收负责人积极与采样单位沟通协调。每周、每日核算接收样品数量、分析样品数量，将样品数量、分析指标、分析人员、仪器设备进行逐一匹配，使样品分析测试时间精确安排至每一个小时，24小时不间断运转，不分昼夜等。真正做到不耽误采样进度、不耽误分析测试进度、不耽误数据上报进度。各个环节随时保持沟通，确保所有样品均按时分析上报。</w:t>
      </w:r>
    </w:p>
    <w:p>
      <w:pPr>
        <w:pStyle w:val="2"/>
        <w:ind w:firstLine="560"/>
        <w:rPr>
          <w:rFonts w:hint="eastAsia" w:ascii="Times New Roman" w:eastAsia="宋体"/>
          <w:kern w:val="2"/>
          <w:sz w:val="28"/>
          <w:szCs w:val="22"/>
        </w:rPr>
      </w:pPr>
      <w:r>
        <w:rPr>
          <w:rFonts w:hint="eastAsia" w:ascii="Times New Roman" w:eastAsia="宋体"/>
          <w:kern w:val="2"/>
          <w:sz w:val="28"/>
          <w:szCs w:val="22"/>
        </w:rPr>
        <w:t>根据项目中所遇到的各类问题，项目组采取周例会形式，在会上积极讨论各类事项解决办法，落实责任人，落实时间节点。</w:t>
      </w:r>
    </w:p>
    <w:p>
      <w:pPr>
        <w:pStyle w:val="2"/>
        <w:ind w:firstLine="560"/>
        <w:rPr>
          <w:rFonts w:hint="eastAsia" w:ascii="Times New Roman" w:eastAsia="宋体"/>
          <w:kern w:val="2"/>
          <w:sz w:val="28"/>
          <w:szCs w:val="22"/>
        </w:rPr>
      </w:pPr>
      <w:r>
        <w:rPr>
          <w:rFonts w:hint="eastAsia" w:ascii="Times New Roman" w:eastAsia="宋体"/>
          <w:kern w:val="2"/>
          <w:sz w:val="28"/>
          <w:szCs w:val="22"/>
        </w:rPr>
        <w:t>同时，根据农业用地详查经验，项目组与公司信息中心联合开发设计了企业用地数据处理系统，峰值时，单人单日处理20余个地块数据及报告。该系统有效保证了数据的准确性及及时性，在本项目中后期，面对海量数据，发挥了重要作用。</w:t>
      </w:r>
    </w:p>
    <w:p>
      <w:pPr>
        <w:pStyle w:val="2"/>
        <w:ind w:firstLine="560"/>
        <w:rPr>
          <w:rFonts w:hint="eastAsia" w:ascii="Times New Roman" w:eastAsia="宋体"/>
          <w:kern w:val="2"/>
          <w:sz w:val="28"/>
          <w:szCs w:val="22"/>
        </w:rPr>
      </w:pPr>
      <w:r>
        <w:rPr>
          <w:rFonts w:hint="eastAsia" w:ascii="Times New Roman" w:eastAsia="宋体"/>
          <w:kern w:val="2"/>
          <w:sz w:val="28"/>
          <w:szCs w:val="22"/>
        </w:rPr>
        <w:t>四川省重点行业企业用地调查分析项目在实施过程中按照《土壤污染防治专项资金管理办法》（财资环〔2019〕11号）执行，未涉及公开招标和政府采购，项目中涉及的耗材采购因耗材品种多，时间间隔长，采用询价和比价方式选择供应商。</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（三）项目产出情况</w:t>
      </w:r>
    </w:p>
    <w:p>
      <w:pPr>
        <w:pStyle w:val="2"/>
        <w:ind w:firstLine="560"/>
        <w:rPr>
          <w:rFonts w:hint="eastAsia" w:ascii="Times New Roman" w:eastAsia="宋体"/>
          <w:kern w:val="2"/>
          <w:sz w:val="28"/>
          <w:szCs w:val="22"/>
        </w:rPr>
      </w:pPr>
      <w:r>
        <w:rPr>
          <w:rFonts w:hint="eastAsia" w:ascii="Times New Roman" w:eastAsia="宋体"/>
          <w:kern w:val="2"/>
          <w:sz w:val="28"/>
          <w:szCs w:val="22"/>
        </w:rPr>
        <w:t>通过全体项目组人员几个月勠力同心、接续奋斗，以不弃微末的工作态度，始终坚守在自己的岗位上。目前，本公司承担的四川省重点行业企业用地土壤污染状况调查分析测试及数据报送工作已圆满完成。共完成802个地块的分析测试任务，实验室共收到样品数量17949个，其中土壤样品17676个，水质样品273个。生态环境厅和财政厅暂未组织专家对项目进行验收。</w:t>
      </w:r>
    </w:p>
    <w:p>
      <w:pPr>
        <w:pStyle w:val="2"/>
        <w:ind w:firstLine="560"/>
        <w:rPr>
          <w:rFonts w:hint="eastAsia" w:ascii="Times New Roman" w:eastAsia="宋体"/>
          <w:kern w:val="2"/>
          <w:sz w:val="28"/>
          <w:szCs w:val="22"/>
        </w:rPr>
      </w:pPr>
      <w:r>
        <w:rPr>
          <w:rFonts w:hint="eastAsia" w:ascii="Times New Roman" w:eastAsia="宋体"/>
          <w:kern w:val="2"/>
          <w:sz w:val="28"/>
          <w:szCs w:val="22"/>
        </w:rPr>
        <w:t>本次详查工作，我公司高度重视，从人员安排、仪器配置、物资准备、方法确认、环境保障等各个环节进行了周密的安排部署。各个工作小组各司其职，工作开展有条不紊。</w:t>
      </w:r>
    </w:p>
    <w:p>
      <w:pPr>
        <w:pStyle w:val="2"/>
        <w:ind w:firstLine="560"/>
        <w:rPr>
          <w:rFonts w:hint="eastAsia" w:ascii="Times New Roman" w:eastAsia="宋体"/>
          <w:kern w:val="2"/>
          <w:sz w:val="28"/>
          <w:szCs w:val="22"/>
        </w:rPr>
      </w:pPr>
      <w:r>
        <w:rPr>
          <w:rFonts w:hint="eastAsia" w:ascii="Times New Roman" w:eastAsia="宋体"/>
          <w:kern w:val="2"/>
          <w:sz w:val="28"/>
          <w:szCs w:val="22"/>
        </w:rPr>
        <w:t>1、样品流转组积极与流转中心、分析组、质控组保持沟通，及时接收样品。累计流转802个地块，总计17949个样品，每个样品均检查后通过扫码终端进行收样，确保了每一个样品及时，完好送达实验室。</w:t>
      </w:r>
    </w:p>
    <w:p>
      <w:pPr>
        <w:pStyle w:val="2"/>
        <w:ind w:firstLine="560"/>
        <w:rPr>
          <w:rFonts w:hint="eastAsia" w:ascii="Times New Roman" w:eastAsia="宋体"/>
          <w:kern w:val="2"/>
          <w:sz w:val="28"/>
          <w:szCs w:val="22"/>
        </w:rPr>
      </w:pPr>
      <w:r>
        <w:rPr>
          <w:rFonts w:hint="eastAsia" w:ascii="Times New Roman" w:eastAsia="宋体"/>
          <w:kern w:val="2"/>
          <w:sz w:val="28"/>
          <w:szCs w:val="22"/>
        </w:rPr>
        <w:t>2、分析组累计出具40万余个有效分析数据，按计划完成了分析任务。并编制、修订了17份作业指导书，30余份方法验证报告。</w:t>
      </w:r>
    </w:p>
    <w:p>
      <w:pPr>
        <w:pStyle w:val="2"/>
        <w:ind w:firstLine="560"/>
        <w:rPr>
          <w:rFonts w:hint="eastAsia" w:ascii="Times New Roman" w:eastAsia="宋体"/>
          <w:kern w:val="2"/>
          <w:sz w:val="28"/>
          <w:szCs w:val="22"/>
        </w:rPr>
      </w:pPr>
      <w:r>
        <w:rPr>
          <w:rFonts w:hint="eastAsia" w:ascii="Times New Roman" w:eastAsia="宋体"/>
          <w:kern w:val="2"/>
          <w:sz w:val="28"/>
          <w:szCs w:val="22"/>
        </w:rPr>
        <w:t>3、质控组圆满完成质控任务，确保出具的每批次数据空白、精密度、准确度、复检合格率均满足要求。累计提交了65万余个有效数据，出具检测报告、质控报告总计1000余份，累计上报795个地块数据。</w:t>
      </w:r>
    </w:p>
    <w:p>
      <w:pPr>
        <w:pStyle w:val="2"/>
        <w:ind w:firstLine="560"/>
        <w:rPr>
          <w:rFonts w:hint="eastAsia" w:ascii="Times New Roman" w:eastAsia="宋体"/>
          <w:kern w:val="2"/>
          <w:sz w:val="28"/>
          <w:szCs w:val="22"/>
        </w:rPr>
      </w:pPr>
      <w:r>
        <w:rPr>
          <w:rFonts w:hint="eastAsia" w:ascii="Times New Roman" w:eastAsia="宋体"/>
          <w:kern w:val="2"/>
          <w:sz w:val="28"/>
          <w:szCs w:val="22"/>
        </w:rPr>
        <w:t>在各个工作小组紧密切配合下，我公司内部质量控制活动有序进行，质量控制计划有效实施；接受了省级、国家级质量监督检查共10次，其中国家级飞行检查2次，圆满完成了各类迎检任务。针对检查组提出的问题，我公司高度重视，积极面对，认真整改，及时对整改措施进行了验证，编制并提交了10余份整改报告。</w:t>
      </w:r>
    </w:p>
    <w:p>
      <w:pPr>
        <w:pStyle w:val="2"/>
        <w:ind w:firstLine="560"/>
        <w:rPr>
          <w:rFonts w:hint="eastAsia" w:ascii="Times New Roman" w:eastAsia="宋体"/>
          <w:kern w:val="2"/>
          <w:sz w:val="28"/>
          <w:szCs w:val="22"/>
        </w:rPr>
      </w:pPr>
      <w:r>
        <w:rPr>
          <w:rFonts w:hint="eastAsia" w:ascii="Times New Roman" w:eastAsia="宋体"/>
          <w:kern w:val="2"/>
          <w:sz w:val="28"/>
          <w:szCs w:val="22"/>
        </w:rPr>
        <w:t>在内、外部质控活动的有序进行下，我公司圆满完成分析检测任务。</w:t>
      </w:r>
    </w:p>
    <w:p>
      <w:pPr>
        <w:pStyle w:val="2"/>
        <w:ind w:firstLine="560"/>
        <w:rPr>
          <w:rFonts w:hint="eastAsia" w:ascii="Times New Roman" w:eastAsia="宋体"/>
          <w:kern w:val="2"/>
          <w:sz w:val="28"/>
          <w:szCs w:val="22"/>
        </w:rPr>
      </w:pPr>
      <w:r>
        <w:rPr>
          <w:rFonts w:hint="eastAsia" w:ascii="Times New Roman" w:eastAsia="宋体"/>
          <w:kern w:val="2"/>
          <w:sz w:val="28"/>
          <w:szCs w:val="22"/>
        </w:rPr>
        <w:t>1、开展了分析测试方法均进行方法确认；</w:t>
      </w:r>
    </w:p>
    <w:p>
      <w:pPr>
        <w:pStyle w:val="2"/>
        <w:ind w:firstLine="560"/>
        <w:rPr>
          <w:rFonts w:hint="eastAsia" w:ascii="Times New Roman" w:eastAsia="宋体"/>
          <w:kern w:val="2"/>
          <w:sz w:val="28"/>
          <w:szCs w:val="22"/>
        </w:rPr>
      </w:pPr>
      <w:r>
        <w:rPr>
          <w:rFonts w:hint="eastAsia" w:ascii="Times New Roman" w:eastAsia="宋体"/>
          <w:kern w:val="2"/>
          <w:sz w:val="28"/>
          <w:szCs w:val="22"/>
        </w:rPr>
        <w:t>2、样品分析测试精密度控制合格率达到100%；</w:t>
      </w:r>
    </w:p>
    <w:p>
      <w:pPr>
        <w:pStyle w:val="2"/>
        <w:ind w:firstLine="560"/>
        <w:rPr>
          <w:rFonts w:hint="eastAsia" w:ascii="Times New Roman" w:eastAsia="宋体"/>
          <w:kern w:val="2"/>
          <w:sz w:val="28"/>
          <w:szCs w:val="22"/>
        </w:rPr>
      </w:pPr>
      <w:r>
        <w:rPr>
          <w:rFonts w:hint="eastAsia" w:ascii="Times New Roman" w:eastAsia="宋体"/>
          <w:kern w:val="2"/>
          <w:sz w:val="28"/>
          <w:szCs w:val="22"/>
        </w:rPr>
        <w:t>3、样品分析测试准确度控制合格率达到100%；</w:t>
      </w:r>
    </w:p>
    <w:p>
      <w:pPr>
        <w:pStyle w:val="2"/>
        <w:ind w:firstLine="560"/>
        <w:rPr>
          <w:rFonts w:hint="eastAsia" w:ascii="Times New Roman" w:eastAsia="宋体"/>
          <w:kern w:val="2"/>
          <w:sz w:val="28"/>
          <w:szCs w:val="22"/>
        </w:rPr>
      </w:pPr>
      <w:r>
        <w:rPr>
          <w:rFonts w:hint="eastAsia" w:ascii="Times New Roman" w:eastAsia="宋体"/>
          <w:kern w:val="2"/>
          <w:sz w:val="28"/>
          <w:szCs w:val="22"/>
        </w:rPr>
        <w:t>检验检测各个环节资料完整清晰，确保每个数据均能溯源。</w:t>
      </w:r>
    </w:p>
    <w:p>
      <w:pPr>
        <w:pStyle w:val="2"/>
        <w:ind w:firstLine="560"/>
        <w:rPr>
          <w:rFonts w:hint="eastAsia" w:ascii="Times New Roman" w:eastAsia="宋体"/>
          <w:kern w:val="2"/>
          <w:sz w:val="28"/>
          <w:szCs w:val="22"/>
        </w:rPr>
      </w:pPr>
      <w:r>
        <w:rPr>
          <w:rFonts w:hint="eastAsia" w:ascii="Times New Roman" w:eastAsia="宋体"/>
          <w:kern w:val="2"/>
          <w:sz w:val="28"/>
          <w:szCs w:val="22"/>
        </w:rPr>
        <w:t>项目截止，在国家质量监督检查组、省详查办、省级质量监督检查组、省级质控组的积极指导下，在公司领导、详查项目小组的通力配合下，我公司在全省分析测试机构中提前完成了详查分析测试任务。天晟源环保将继续以高度的政治责任感和历史使命感，切实做好后续工作，为圆满完成全省的重点行业企业调查任务贡献“天晟源力量”。</w:t>
      </w:r>
    </w:p>
    <w:p>
      <w:pPr>
        <w:snapToGrid w:val="0"/>
        <w:spacing w:line="600" w:lineRule="exact"/>
        <w:ind w:firstLine="562" w:firstLineChars="200"/>
        <w:rPr>
          <w:rFonts w:ascii="楷体_GB2312" w:hAnsi="宋体" w:eastAsia="楷体_GB2312"/>
          <w:b/>
          <w:sz w:val="28"/>
          <w:szCs w:val="22"/>
        </w:rPr>
      </w:pPr>
      <w:r>
        <w:rPr>
          <w:rFonts w:hint="eastAsia" w:ascii="楷体_GB2312" w:hAnsi="宋体" w:eastAsia="楷体_GB2312"/>
          <w:b/>
          <w:sz w:val="28"/>
          <w:szCs w:val="22"/>
        </w:rPr>
        <w:t>（四）项目效益情况</w:t>
      </w:r>
    </w:p>
    <w:p>
      <w:pPr>
        <w:pStyle w:val="2"/>
        <w:ind w:firstLine="560"/>
        <w:rPr>
          <w:rFonts w:hint="eastAsia" w:ascii="Times New Roman" w:eastAsia="宋体"/>
          <w:kern w:val="2"/>
          <w:sz w:val="28"/>
          <w:szCs w:val="22"/>
        </w:rPr>
      </w:pPr>
      <w:r>
        <w:rPr>
          <w:rFonts w:hint="eastAsia" w:ascii="Times New Roman" w:eastAsia="宋体"/>
          <w:kern w:val="2"/>
          <w:sz w:val="28"/>
          <w:szCs w:val="22"/>
        </w:rPr>
        <w:t>（1）数量指标</w:t>
      </w:r>
    </w:p>
    <w:p>
      <w:pPr>
        <w:pStyle w:val="2"/>
        <w:ind w:firstLine="560"/>
        <w:rPr>
          <w:rFonts w:hint="eastAsia" w:ascii="Times New Roman" w:eastAsia="宋体"/>
          <w:kern w:val="2"/>
          <w:sz w:val="28"/>
          <w:szCs w:val="22"/>
        </w:rPr>
      </w:pPr>
      <w:r>
        <w:rPr>
          <w:rFonts w:hint="eastAsia" w:ascii="Times New Roman" w:eastAsia="宋体"/>
          <w:kern w:val="2"/>
          <w:sz w:val="28"/>
          <w:szCs w:val="22"/>
        </w:rPr>
        <w:t>本公司从2019年10月与川勘集团协作完成全省第一个试点地块，截止项目完成，分析样品数量17949个，其中土壤样品17676个，水质样品273个。17676个土壤样品含有机17284个（含全程序空白QCK、运输空白YCK），无机及金属样品392个。</w:t>
      </w:r>
    </w:p>
    <w:p>
      <w:pPr>
        <w:pStyle w:val="2"/>
        <w:ind w:firstLine="560"/>
        <w:rPr>
          <w:rFonts w:hint="eastAsia" w:ascii="Times New Roman" w:eastAsia="宋体"/>
          <w:kern w:val="2"/>
          <w:sz w:val="28"/>
          <w:szCs w:val="22"/>
        </w:rPr>
      </w:pPr>
      <w:r>
        <w:rPr>
          <w:rFonts w:hint="eastAsia" w:ascii="Times New Roman" w:eastAsia="宋体"/>
          <w:kern w:val="2"/>
          <w:sz w:val="28"/>
          <w:szCs w:val="22"/>
        </w:rPr>
        <w:t>（2）质量指标</w:t>
      </w:r>
    </w:p>
    <w:p>
      <w:pPr>
        <w:pStyle w:val="2"/>
        <w:ind w:firstLine="560"/>
        <w:rPr>
          <w:rFonts w:hint="eastAsia" w:ascii="Times New Roman" w:eastAsia="宋体"/>
          <w:kern w:val="2"/>
          <w:sz w:val="28"/>
          <w:szCs w:val="22"/>
        </w:rPr>
      </w:pPr>
      <w:r>
        <w:rPr>
          <w:rFonts w:hint="eastAsia" w:ascii="Times New Roman" w:eastAsia="宋体"/>
          <w:kern w:val="2"/>
          <w:sz w:val="28"/>
          <w:szCs w:val="22"/>
        </w:rPr>
        <w:t>项目严格按照国家技术要求进行分析测试工作，通过了省级质控（四川省生态环境监测站）、国家质控（国家详查办）组织的各次质量检查。</w:t>
      </w:r>
    </w:p>
    <w:p>
      <w:pPr>
        <w:pStyle w:val="2"/>
        <w:ind w:firstLine="560"/>
        <w:rPr>
          <w:rFonts w:hint="eastAsia" w:ascii="Times New Roman" w:eastAsia="宋体"/>
          <w:kern w:val="2"/>
          <w:sz w:val="28"/>
          <w:szCs w:val="22"/>
        </w:rPr>
      </w:pPr>
      <w:r>
        <w:rPr>
          <w:rFonts w:hint="eastAsia" w:ascii="Times New Roman" w:eastAsia="宋体"/>
          <w:kern w:val="2"/>
          <w:sz w:val="28"/>
          <w:szCs w:val="22"/>
        </w:rPr>
        <w:t>（3）时效指标</w:t>
      </w:r>
    </w:p>
    <w:p>
      <w:pPr>
        <w:pStyle w:val="2"/>
        <w:ind w:firstLine="560"/>
        <w:rPr>
          <w:rFonts w:hint="eastAsia" w:ascii="Times New Roman" w:eastAsia="宋体"/>
          <w:kern w:val="2"/>
          <w:sz w:val="28"/>
          <w:szCs w:val="22"/>
        </w:rPr>
      </w:pPr>
      <w:r>
        <w:rPr>
          <w:rFonts w:hint="eastAsia" w:ascii="Times New Roman" w:eastAsia="宋体"/>
          <w:kern w:val="2"/>
          <w:sz w:val="28"/>
          <w:szCs w:val="22"/>
        </w:rPr>
        <w:t>于2020年9月31日基本完成公司所负责的分析测试工作，后协助其余机构完成收尾工作，整体项目于2020年10月全部完成，满足时效要求。</w:t>
      </w:r>
    </w:p>
    <w:p>
      <w:pPr>
        <w:pStyle w:val="2"/>
        <w:ind w:firstLine="560"/>
        <w:rPr>
          <w:rFonts w:hint="eastAsia" w:ascii="Times New Roman" w:eastAsia="宋体"/>
          <w:kern w:val="2"/>
          <w:sz w:val="28"/>
          <w:szCs w:val="22"/>
        </w:rPr>
      </w:pPr>
      <w:r>
        <w:rPr>
          <w:rFonts w:hint="eastAsia" w:ascii="Times New Roman" w:eastAsia="宋体"/>
          <w:kern w:val="2"/>
          <w:sz w:val="28"/>
          <w:szCs w:val="22"/>
        </w:rPr>
        <w:t>（4）成本指标</w:t>
      </w:r>
    </w:p>
    <w:p>
      <w:pPr>
        <w:pStyle w:val="2"/>
        <w:ind w:firstLine="560"/>
        <w:rPr>
          <w:rFonts w:hint="eastAsia" w:ascii="Times New Roman" w:eastAsia="宋体"/>
          <w:kern w:val="2"/>
          <w:sz w:val="28"/>
          <w:szCs w:val="22"/>
        </w:rPr>
      </w:pPr>
      <w:r>
        <w:rPr>
          <w:rFonts w:hint="eastAsia" w:ascii="Times New Roman" w:eastAsia="宋体"/>
          <w:kern w:val="2"/>
          <w:sz w:val="28"/>
          <w:szCs w:val="22"/>
        </w:rPr>
        <w:t>截止2020年9月，使用资金1265.69万元（其中政府专项资金1146.00万元，企业自筹资金119.69万元）万元，专项资金执行率为100%。</w:t>
      </w:r>
    </w:p>
    <w:p>
      <w:pPr>
        <w:pStyle w:val="2"/>
        <w:ind w:firstLine="560"/>
        <w:rPr>
          <w:rFonts w:hint="eastAsia" w:ascii="Times New Roman" w:eastAsia="宋体"/>
          <w:kern w:val="2"/>
          <w:sz w:val="28"/>
          <w:szCs w:val="22"/>
        </w:rPr>
      </w:pPr>
      <w:r>
        <w:rPr>
          <w:rFonts w:hint="eastAsia" w:ascii="Times New Roman" w:eastAsia="宋体"/>
          <w:kern w:val="2"/>
          <w:sz w:val="28"/>
          <w:szCs w:val="22"/>
        </w:rPr>
        <w:t>（5）经济效益指标</w:t>
      </w:r>
    </w:p>
    <w:p>
      <w:pPr>
        <w:pStyle w:val="2"/>
        <w:ind w:firstLine="560"/>
        <w:rPr>
          <w:rFonts w:hint="eastAsia" w:ascii="Times New Roman" w:eastAsia="宋体"/>
          <w:kern w:val="2"/>
          <w:sz w:val="28"/>
          <w:szCs w:val="22"/>
        </w:rPr>
      </w:pPr>
      <w:r>
        <w:rPr>
          <w:rFonts w:hint="eastAsia" w:ascii="Times New Roman" w:eastAsia="宋体"/>
          <w:kern w:val="2"/>
          <w:sz w:val="28"/>
          <w:szCs w:val="22"/>
        </w:rPr>
        <w:t>推进建设用地准入管理，指导实施土壤污染分类别、分用途、分阶段治理，有利于相关部门加强土壤环境污染防治和风险管控。</w:t>
      </w:r>
    </w:p>
    <w:p>
      <w:pPr>
        <w:pStyle w:val="2"/>
        <w:ind w:firstLine="560"/>
        <w:rPr>
          <w:rFonts w:hint="eastAsia" w:ascii="Times New Roman" w:eastAsia="宋体"/>
          <w:kern w:val="2"/>
          <w:sz w:val="28"/>
          <w:szCs w:val="22"/>
        </w:rPr>
      </w:pPr>
      <w:r>
        <w:rPr>
          <w:rFonts w:hint="eastAsia" w:ascii="Times New Roman" w:eastAsia="宋体"/>
          <w:kern w:val="2"/>
          <w:sz w:val="28"/>
          <w:szCs w:val="22"/>
        </w:rPr>
        <w:t>（6）社会效益指标</w:t>
      </w:r>
    </w:p>
    <w:p>
      <w:pPr>
        <w:pStyle w:val="2"/>
        <w:ind w:firstLine="560"/>
        <w:rPr>
          <w:rFonts w:hint="eastAsia" w:ascii="Times New Roman" w:eastAsia="宋体"/>
          <w:kern w:val="2"/>
          <w:sz w:val="28"/>
          <w:szCs w:val="22"/>
        </w:rPr>
      </w:pPr>
      <w:r>
        <w:rPr>
          <w:rFonts w:hint="eastAsia" w:ascii="Times New Roman" w:eastAsia="宋体"/>
          <w:kern w:val="2"/>
          <w:sz w:val="28"/>
          <w:szCs w:val="22"/>
        </w:rPr>
        <w:t>派出专业技术人员，在省环科院、省总站的牵头下形成项目组，进行了成果集成工作。根据调查成果建立了全省重点行业企业用地疑似污染地块清单、污染地块清单和优先管控名录。</w:t>
      </w:r>
    </w:p>
    <w:p>
      <w:pPr>
        <w:pStyle w:val="2"/>
        <w:ind w:firstLine="560"/>
        <w:rPr>
          <w:rFonts w:hint="eastAsia" w:ascii="Times New Roman" w:eastAsia="宋体"/>
          <w:kern w:val="2"/>
          <w:sz w:val="28"/>
          <w:szCs w:val="22"/>
        </w:rPr>
      </w:pPr>
      <w:r>
        <w:rPr>
          <w:rFonts w:hint="eastAsia" w:ascii="Times New Roman" w:eastAsia="宋体"/>
          <w:kern w:val="2"/>
          <w:sz w:val="28"/>
          <w:szCs w:val="22"/>
        </w:rPr>
        <w:t>（7）生态效益指标</w:t>
      </w:r>
    </w:p>
    <w:p>
      <w:pPr>
        <w:pStyle w:val="2"/>
        <w:ind w:firstLine="560"/>
        <w:rPr>
          <w:rFonts w:hint="eastAsia" w:ascii="Times New Roman" w:eastAsia="宋体"/>
          <w:kern w:val="2"/>
          <w:sz w:val="28"/>
          <w:szCs w:val="22"/>
        </w:rPr>
      </w:pPr>
      <w:r>
        <w:rPr>
          <w:rFonts w:hint="eastAsia" w:ascii="Times New Roman" w:eastAsia="宋体"/>
          <w:kern w:val="2"/>
          <w:sz w:val="28"/>
          <w:szCs w:val="22"/>
        </w:rPr>
        <w:t>根据调查成果，有利于加强污染地块管控，防止企业用地环境恶化。</w:t>
      </w:r>
    </w:p>
    <w:p>
      <w:pPr>
        <w:pStyle w:val="2"/>
        <w:ind w:firstLine="560"/>
        <w:rPr>
          <w:rFonts w:hint="eastAsia" w:ascii="Times New Roman" w:eastAsia="宋体"/>
          <w:kern w:val="2"/>
          <w:sz w:val="28"/>
          <w:szCs w:val="22"/>
        </w:rPr>
      </w:pPr>
      <w:r>
        <w:rPr>
          <w:rFonts w:hint="eastAsia" w:ascii="Times New Roman" w:eastAsia="宋体"/>
          <w:kern w:val="2"/>
          <w:sz w:val="28"/>
          <w:szCs w:val="22"/>
        </w:rPr>
        <w:t>（8）可持续影响指标</w:t>
      </w:r>
    </w:p>
    <w:p>
      <w:pPr>
        <w:pStyle w:val="2"/>
        <w:ind w:firstLine="560"/>
        <w:rPr>
          <w:rFonts w:hint="eastAsia" w:ascii="Times New Roman" w:eastAsia="宋体"/>
          <w:kern w:val="2"/>
          <w:sz w:val="28"/>
          <w:szCs w:val="22"/>
        </w:rPr>
      </w:pPr>
      <w:r>
        <w:rPr>
          <w:rFonts w:hint="eastAsia" w:ascii="Times New Roman" w:eastAsia="宋体"/>
          <w:kern w:val="2"/>
          <w:sz w:val="28"/>
          <w:szCs w:val="22"/>
        </w:rPr>
        <w:t>重点行业企业用地调查工作已有序开展完成。</w:t>
      </w:r>
    </w:p>
    <w:p>
      <w:pPr>
        <w:pStyle w:val="2"/>
        <w:ind w:firstLine="560"/>
        <w:rPr>
          <w:rFonts w:hint="eastAsia" w:ascii="Times New Roman" w:eastAsia="宋体"/>
          <w:kern w:val="2"/>
          <w:sz w:val="28"/>
          <w:szCs w:val="22"/>
        </w:rPr>
      </w:pPr>
      <w:r>
        <w:rPr>
          <w:rFonts w:hint="eastAsia" w:ascii="Times New Roman" w:eastAsia="宋体"/>
          <w:kern w:val="2"/>
          <w:sz w:val="28"/>
          <w:szCs w:val="22"/>
        </w:rPr>
        <w:t>（9）满意度指标</w:t>
      </w:r>
    </w:p>
    <w:p>
      <w:pPr>
        <w:pStyle w:val="2"/>
        <w:ind w:firstLine="560"/>
        <w:rPr>
          <w:rFonts w:hint="eastAsia" w:ascii="Times New Roman" w:eastAsia="宋体"/>
          <w:kern w:val="2"/>
          <w:sz w:val="28"/>
          <w:szCs w:val="22"/>
        </w:rPr>
      </w:pPr>
      <w:r>
        <w:rPr>
          <w:rFonts w:hint="eastAsia" w:ascii="Times New Roman" w:eastAsia="宋体"/>
          <w:kern w:val="2"/>
          <w:sz w:val="28"/>
          <w:szCs w:val="22"/>
        </w:rPr>
        <w:t>通过已通过省级抽查，合格率100%，四川省生态环境厅满意度较高。</w:t>
      </w: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五、存在主要问题</w:t>
      </w:r>
    </w:p>
    <w:p>
      <w:pPr>
        <w:snapToGrid w:val="0"/>
        <w:spacing w:line="600" w:lineRule="exact"/>
        <w:ind w:firstLine="560" w:firstLineChars="200"/>
        <w:rPr>
          <w:sz w:val="28"/>
          <w:szCs w:val="22"/>
        </w:rPr>
      </w:pPr>
      <w:r>
        <w:rPr>
          <w:rFonts w:hint="eastAsia"/>
          <w:sz w:val="28"/>
          <w:szCs w:val="22"/>
        </w:rPr>
        <w:t>本项目实施过程中，主要问题存在于采样环节和分析测试环节进度不一致。要么无样品分析，要么样品大量积压。通过后期沟通、磨合，对采样速度，分析测试效率数据不断精确，不断调整采样小组数量及分析测试工作安排，最终达到二者高效协调进行。</w:t>
      </w:r>
    </w:p>
    <w:p>
      <w:pPr>
        <w:snapToGrid w:val="0"/>
        <w:spacing w:line="600" w:lineRule="exact"/>
        <w:ind w:firstLine="560" w:firstLineChars="200"/>
        <w:rPr>
          <w:sz w:val="28"/>
          <w:szCs w:val="22"/>
        </w:rPr>
      </w:pPr>
      <w:r>
        <w:rPr>
          <w:rFonts w:hint="eastAsia"/>
          <w:sz w:val="28"/>
          <w:szCs w:val="22"/>
        </w:rPr>
        <w:t>采样和分析互通有无，及时沟通，使得本项目高效开展，最终在川内率先完成分析测试任务。</w:t>
      </w:r>
    </w:p>
    <w:p>
      <w:pPr>
        <w:snapToGrid w:val="0"/>
        <w:spacing w:line="600" w:lineRule="exact"/>
        <w:ind w:firstLine="560" w:firstLineChars="200"/>
        <w:rPr>
          <w:sz w:val="28"/>
          <w:szCs w:val="22"/>
        </w:rPr>
      </w:pPr>
      <w:r>
        <w:rPr>
          <w:rFonts w:hint="eastAsia"/>
          <w:sz w:val="28"/>
          <w:szCs w:val="22"/>
        </w:rPr>
        <w:t>项目满意度需要提升。在项目实施过程中，客观上，时间紧、任务重、数据量大，主观上，前期经验不足，对数据处理及审核不够细致，虽然合格率远超技术要求规定，但是仍然出现了部分质量问题，虽然质量问题均已经得到有效整改，但是对客户还是造成了一定影响，以后的工作中将努力改进，提前谋划，争取高效的同时，高质量完成任务。</w:t>
      </w:r>
    </w:p>
    <w:p>
      <w:pPr>
        <w:tabs>
          <w:tab w:val="left" w:pos="3885"/>
        </w:tabs>
        <w:snapToGrid w:val="0"/>
        <w:spacing w:line="600" w:lineRule="exact"/>
        <w:ind w:firstLine="600" w:firstLineChars="200"/>
        <w:jc w:val="left"/>
        <w:rPr>
          <w:rFonts w:ascii="黑体" w:hAnsi="黑体" w:eastAsia="黑体"/>
          <w:sz w:val="30"/>
          <w:szCs w:val="30"/>
        </w:rPr>
      </w:pPr>
      <w:r>
        <w:rPr>
          <w:rFonts w:hint="eastAsia" w:ascii="黑体" w:hAnsi="黑体" w:eastAsia="黑体"/>
          <w:sz w:val="30"/>
          <w:szCs w:val="30"/>
        </w:rPr>
        <w:t>六、相关措施建议</w:t>
      </w:r>
    </w:p>
    <w:p>
      <w:pPr>
        <w:spacing w:line="600" w:lineRule="exact"/>
        <w:ind w:firstLine="560" w:firstLineChars="200"/>
        <w:rPr>
          <w:sz w:val="28"/>
          <w:szCs w:val="22"/>
        </w:rPr>
      </w:pPr>
      <w:r>
        <w:rPr>
          <w:rFonts w:hint="eastAsia"/>
          <w:sz w:val="28"/>
          <w:szCs w:val="22"/>
        </w:rPr>
        <w:t>分析测试技术工作是本项目实施的主线，是确保本项目如期完成的主过程。而质量管理工作是确保数据质量、确保数据可靠的关键。二者缺一不可。项目的圆满完成，为我公司开展类似项目提供了丰富的经验。</w:t>
      </w:r>
    </w:p>
    <w:p>
      <w:pPr>
        <w:spacing w:line="600" w:lineRule="exact"/>
        <w:ind w:firstLine="560" w:firstLineChars="200"/>
        <w:rPr>
          <w:sz w:val="28"/>
          <w:szCs w:val="22"/>
        </w:rPr>
      </w:pPr>
      <w:r>
        <w:rPr>
          <w:rFonts w:hint="eastAsia"/>
          <w:sz w:val="28"/>
          <w:szCs w:val="22"/>
        </w:rPr>
        <w:t>1、前期充分介入，了解项目开展方式</w:t>
      </w:r>
    </w:p>
    <w:p>
      <w:pPr>
        <w:spacing w:line="600" w:lineRule="exact"/>
        <w:ind w:firstLine="560" w:firstLineChars="200"/>
        <w:rPr>
          <w:sz w:val="28"/>
          <w:szCs w:val="22"/>
        </w:rPr>
      </w:pPr>
      <w:r>
        <w:rPr>
          <w:rFonts w:hint="eastAsia"/>
          <w:sz w:val="28"/>
          <w:szCs w:val="22"/>
        </w:rPr>
        <w:t>本项目开展初期，我公司积极进行试点工作，为四川省唯一一家试点分析测试单位。对采样、流转、分析均进行了全方位对接。了解了项目流程，提出了项目运行建议，为后期项目高效实施奠定了基础。</w:t>
      </w:r>
    </w:p>
    <w:p>
      <w:pPr>
        <w:spacing w:line="600" w:lineRule="exact"/>
        <w:ind w:firstLine="560" w:firstLineChars="200"/>
        <w:rPr>
          <w:sz w:val="28"/>
          <w:szCs w:val="22"/>
        </w:rPr>
      </w:pPr>
      <w:r>
        <w:rPr>
          <w:rFonts w:hint="eastAsia"/>
          <w:sz w:val="28"/>
          <w:szCs w:val="22"/>
        </w:rPr>
        <w:t>2、资质扩项，确保分析测试指标全覆盖</w:t>
      </w:r>
    </w:p>
    <w:p>
      <w:pPr>
        <w:spacing w:line="600" w:lineRule="exact"/>
        <w:ind w:firstLine="560" w:firstLineChars="200"/>
        <w:rPr>
          <w:sz w:val="28"/>
          <w:szCs w:val="22"/>
        </w:rPr>
      </w:pPr>
      <w:r>
        <w:rPr>
          <w:rFonts w:hint="eastAsia"/>
          <w:sz w:val="28"/>
          <w:szCs w:val="22"/>
        </w:rPr>
        <w:t>通过建立的分析测试指标库，公司提前谋划，购置设备及试剂耗材。积极增扩项，积极完成方法验证报告，确保分析测试指标均纳入CMA资质范围，确保分析测试指标满足相关技术要求。</w:t>
      </w:r>
    </w:p>
    <w:p>
      <w:pPr>
        <w:spacing w:line="600" w:lineRule="exact"/>
        <w:ind w:firstLine="560" w:firstLineChars="200"/>
        <w:rPr>
          <w:sz w:val="28"/>
          <w:szCs w:val="22"/>
        </w:rPr>
      </w:pPr>
      <w:r>
        <w:rPr>
          <w:rFonts w:hint="eastAsia"/>
          <w:sz w:val="28"/>
          <w:szCs w:val="22"/>
        </w:rPr>
        <w:t>3、未雨绸缪，提前购置试剂耗材</w:t>
      </w:r>
    </w:p>
    <w:p>
      <w:pPr>
        <w:spacing w:line="600" w:lineRule="exact"/>
        <w:ind w:firstLine="560" w:firstLineChars="200"/>
        <w:rPr>
          <w:sz w:val="28"/>
          <w:szCs w:val="22"/>
        </w:rPr>
      </w:pPr>
      <w:r>
        <w:rPr>
          <w:rFonts w:hint="eastAsia"/>
          <w:sz w:val="28"/>
          <w:szCs w:val="22"/>
        </w:rPr>
        <w:t>年初疫情爆发，项目组第一时间进行了试剂耗材购置工作。合同签订，租用库房，按照汇报库存情况，采购情况，确保试剂耗材齐备。</w:t>
      </w:r>
    </w:p>
    <w:p>
      <w:pPr>
        <w:spacing w:line="600" w:lineRule="exact"/>
        <w:ind w:firstLine="560" w:firstLineChars="200"/>
        <w:rPr>
          <w:sz w:val="28"/>
          <w:szCs w:val="22"/>
        </w:rPr>
      </w:pPr>
      <w:r>
        <w:rPr>
          <w:rFonts w:hint="eastAsia"/>
          <w:sz w:val="28"/>
          <w:szCs w:val="22"/>
        </w:rPr>
        <w:t>4、上传下达，确保项目各环节高效沟通</w:t>
      </w:r>
    </w:p>
    <w:p>
      <w:pPr>
        <w:spacing w:line="600" w:lineRule="exact"/>
        <w:ind w:firstLine="560" w:firstLineChars="200"/>
        <w:rPr>
          <w:sz w:val="28"/>
          <w:szCs w:val="22"/>
        </w:rPr>
      </w:pPr>
      <w:r>
        <w:rPr>
          <w:rFonts w:hint="eastAsia"/>
          <w:sz w:val="28"/>
          <w:szCs w:val="22"/>
        </w:rPr>
        <w:t>采样负责人、流转负责人、分析负责人建立高效沟通机制，积极沟通进度。协调采样进度、分析进度。确保不耽误采样工作、不积压样品。</w:t>
      </w:r>
    </w:p>
    <w:p>
      <w:pPr>
        <w:spacing w:line="600" w:lineRule="exact"/>
        <w:ind w:firstLine="560" w:firstLineChars="200"/>
        <w:rPr>
          <w:sz w:val="28"/>
          <w:szCs w:val="22"/>
        </w:rPr>
      </w:pPr>
      <w:r>
        <w:rPr>
          <w:rFonts w:hint="eastAsia"/>
          <w:sz w:val="28"/>
          <w:szCs w:val="22"/>
        </w:rPr>
        <w:t>5、优化人员仪器配置，确保分析进度</w:t>
      </w:r>
    </w:p>
    <w:p>
      <w:pPr>
        <w:spacing w:line="600" w:lineRule="exact"/>
        <w:ind w:firstLine="560" w:firstLineChars="200"/>
        <w:rPr>
          <w:sz w:val="28"/>
          <w:szCs w:val="22"/>
        </w:rPr>
      </w:pPr>
      <w:r>
        <w:rPr>
          <w:rFonts w:hint="eastAsia"/>
          <w:sz w:val="28"/>
          <w:szCs w:val="22"/>
        </w:rPr>
        <w:t>根据项目进度要求，按仪器、按人员进行排班，精确至每日分析测试任务。仪器设计排班表，仪器运行、维护精确至小时，合理预留保养时间，确保仪器稳定、高效、正常。</w:t>
      </w:r>
    </w:p>
    <w:p>
      <w:pPr>
        <w:spacing w:line="600" w:lineRule="exact"/>
        <w:ind w:firstLine="560" w:firstLineChars="200"/>
        <w:rPr>
          <w:sz w:val="28"/>
          <w:szCs w:val="22"/>
        </w:rPr>
      </w:pPr>
      <w:r>
        <w:rPr>
          <w:rFonts w:hint="eastAsia"/>
          <w:sz w:val="28"/>
          <w:szCs w:val="22"/>
        </w:rPr>
        <w:t>6、积极进行方法及流程创新，提高精度，提高效率</w:t>
      </w:r>
    </w:p>
    <w:p>
      <w:pPr>
        <w:spacing w:line="600" w:lineRule="exact"/>
        <w:ind w:firstLine="560" w:firstLineChars="200"/>
        <w:rPr>
          <w:sz w:val="28"/>
          <w:szCs w:val="22"/>
        </w:rPr>
      </w:pPr>
      <w:r>
        <w:rPr>
          <w:rFonts w:hint="eastAsia"/>
          <w:sz w:val="28"/>
          <w:szCs w:val="22"/>
        </w:rPr>
        <w:t>时间紧、任务重。各个环节人员不断总结，不断发现并解决生产过程中的技术问题。项目组预计申请专利6个，发表国家级核心3-4篇。其中3个专利进入实质审查，1篇文章国家级核心已接收。</w:t>
      </w:r>
    </w:p>
    <w:p>
      <w:pPr>
        <w:spacing w:line="600" w:lineRule="exact"/>
        <w:ind w:firstLine="560" w:firstLineChars="200"/>
        <w:rPr>
          <w:sz w:val="28"/>
          <w:szCs w:val="22"/>
        </w:rPr>
      </w:pPr>
      <w:r>
        <w:rPr>
          <w:rFonts w:hint="eastAsia"/>
          <w:sz w:val="28"/>
          <w:szCs w:val="22"/>
        </w:rPr>
        <w:t>7、开发数据处理系统，确保分析上报高效、精确</w:t>
      </w:r>
    </w:p>
    <w:p>
      <w:pPr>
        <w:spacing w:line="600" w:lineRule="exact"/>
        <w:ind w:firstLine="560" w:firstLineChars="200"/>
        <w:rPr>
          <w:rFonts w:hint="eastAsia" w:ascii="黑体" w:hAnsi="黑体" w:eastAsia="黑体"/>
          <w:color w:val="000000"/>
          <w:sz w:val="44"/>
          <w:szCs w:val="44"/>
        </w:rPr>
      </w:pPr>
      <w:r>
        <w:rPr>
          <w:rFonts w:hint="eastAsia"/>
          <w:sz w:val="28"/>
          <w:szCs w:val="22"/>
        </w:rPr>
        <w:t>充分利用2018年农用地土壤详查工作经验，提前谋划，开发并设计了数据处理系统。一键导入、一键导出，形成数据上报表，形成检测报告，形成质控报告。高效、精确完成报告编制工作。</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bookmarkStart w:id="132" w:name="_Toc28406"/>
      <w:bookmarkStart w:id="133" w:name="_Toc14232"/>
      <w:bookmarkStart w:id="134" w:name="_Toc22985"/>
      <w:bookmarkStart w:id="135" w:name="_Toc27539"/>
      <w:r>
        <w:rPr>
          <w:rFonts w:hint="eastAsia" w:ascii="黑体" w:hAnsi="黑体" w:eastAsia="黑体"/>
          <w:color w:val="000000"/>
          <w:sz w:val="44"/>
          <w:szCs w:val="44"/>
        </w:rPr>
        <w:t>第</w:t>
      </w:r>
      <w:r>
        <w:rPr>
          <w:rStyle w:val="25"/>
          <w:rFonts w:hint="eastAsia" w:ascii="黑体" w:hAnsi="黑体" w:eastAsia="黑体"/>
          <w:b w:val="0"/>
        </w:rPr>
        <w:t>五部分 附表</w:t>
      </w:r>
      <w:bookmarkEnd w:id="107"/>
      <w:bookmarkEnd w:id="113"/>
      <w:bookmarkEnd w:id="132"/>
      <w:bookmarkEnd w:id="133"/>
      <w:bookmarkEnd w:id="134"/>
      <w:bookmarkEnd w:id="135"/>
      <w:bookmarkStart w:id="136" w:name="_Toc15396619"/>
    </w:p>
    <w:p>
      <w:pPr>
        <w:pStyle w:val="2"/>
        <w:rPr>
          <w:rStyle w:val="26"/>
          <w:rFonts w:hint="eastAsia" w:ascii="仿宋" w:hAnsi="仿宋" w:eastAsia="仿宋"/>
          <w:b w:val="0"/>
          <w:bCs w:val="0"/>
          <w:lang w:eastAsia="zh-CN"/>
        </w:rPr>
      </w:pPr>
      <w:bookmarkStart w:id="137" w:name="_Toc10832"/>
      <w:bookmarkStart w:id="138" w:name="_Toc410"/>
      <w:r>
        <w:rPr>
          <w:rStyle w:val="26"/>
          <w:rFonts w:hint="eastAsia" w:ascii="仿宋" w:hAnsi="仿宋" w:eastAsia="仿宋"/>
          <w:b w:val="0"/>
          <w:bCs w:val="0"/>
          <w:lang w:eastAsia="zh-CN"/>
        </w:rPr>
        <w:t>一、收入支出决算总表</w:t>
      </w:r>
      <w:bookmarkEnd w:id="136"/>
      <w:bookmarkEnd w:id="137"/>
      <w:bookmarkEnd w:id="138"/>
    </w:p>
    <w:p>
      <w:pPr>
        <w:pStyle w:val="2"/>
        <w:rPr>
          <w:rStyle w:val="26"/>
          <w:rFonts w:hint="eastAsia" w:ascii="仿宋" w:hAnsi="仿宋" w:eastAsia="仿宋"/>
          <w:b w:val="0"/>
          <w:bCs w:val="0"/>
          <w:lang w:eastAsia="zh-CN"/>
        </w:rPr>
      </w:pPr>
      <w:bookmarkStart w:id="139" w:name="_Toc4005"/>
      <w:bookmarkStart w:id="140" w:name="_Toc10392"/>
      <w:bookmarkStart w:id="141" w:name="_Toc15396620"/>
      <w:r>
        <w:rPr>
          <w:rStyle w:val="26"/>
          <w:rFonts w:hint="eastAsia" w:ascii="仿宋" w:hAnsi="仿宋" w:eastAsia="仿宋"/>
          <w:b w:val="0"/>
          <w:bCs w:val="0"/>
          <w:lang w:eastAsia="zh-CN"/>
        </w:rPr>
        <w:t>二、收入决算表</w:t>
      </w:r>
      <w:bookmarkEnd w:id="139"/>
      <w:bookmarkEnd w:id="140"/>
      <w:bookmarkEnd w:id="141"/>
    </w:p>
    <w:p>
      <w:pPr>
        <w:pStyle w:val="2"/>
        <w:rPr>
          <w:rStyle w:val="26"/>
          <w:rFonts w:hint="eastAsia" w:ascii="仿宋" w:hAnsi="仿宋" w:eastAsia="仿宋"/>
          <w:b w:val="0"/>
          <w:bCs w:val="0"/>
          <w:lang w:eastAsia="zh-CN"/>
        </w:rPr>
      </w:pPr>
      <w:bookmarkStart w:id="142" w:name="_Toc15396621"/>
      <w:bookmarkStart w:id="143" w:name="_Toc21968"/>
      <w:bookmarkStart w:id="144" w:name="_Toc2647"/>
      <w:r>
        <w:rPr>
          <w:rStyle w:val="26"/>
          <w:rFonts w:hint="eastAsia" w:ascii="仿宋" w:hAnsi="仿宋" w:eastAsia="仿宋"/>
          <w:b w:val="0"/>
          <w:bCs w:val="0"/>
          <w:lang w:eastAsia="zh-CN"/>
        </w:rPr>
        <w:t>三、支出决算表</w:t>
      </w:r>
      <w:bookmarkEnd w:id="142"/>
      <w:bookmarkEnd w:id="143"/>
      <w:bookmarkEnd w:id="144"/>
    </w:p>
    <w:p>
      <w:pPr>
        <w:pStyle w:val="2"/>
        <w:rPr>
          <w:rStyle w:val="26"/>
          <w:rFonts w:hint="eastAsia" w:ascii="仿宋" w:hAnsi="仿宋" w:eastAsia="仿宋"/>
          <w:b w:val="0"/>
          <w:bCs w:val="0"/>
          <w:lang w:eastAsia="zh-CN"/>
        </w:rPr>
      </w:pPr>
      <w:bookmarkStart w:id="145" w:name="_Toc2756"/>
      <w:bookmarkStart w:id="146" w:name="_Toc20563"/>
      <w:bookmarkStart w:id="147" w:name="_Toc15396622"/>
      <w:r>
        <w:rPr>
          <w:rStyle w:val="26"/>
          <w:rFonts w:hint="eastAsia" w:ascii="仿宋" w:hAnsi="仿宋" w:eastAsia="仿宋"/>
          <w:b w:val="0"/>
          <w:bCs w:val="0"/>
          <w:lang w:eastAsia="zh-CN"/>
        </w:rPr>
        <w:t>四、财政拨款收入支出决算总表</w:t>
      </w:r>
      <w:bookmarkEnd w:id="145"/>
      <w:bookmarkEnd w:id="146"/>
      <w:bookmarkEnd w:id="147"/>
    </w:p>
    <w:p>
      <w:pPr>
        <w:pStyle w:val="2"/>
        <w:rPr>
          <w:rStyle w:val="26"/>
          <w:rFonts w:hint="eastAsia" w:ascii="仿宋" w:hAnsi="仿宋" w:eastAsia="仿宋"/>
          <w:b w:val="0"/>
          <w:bCs w:val="0"/>
          <w:lang w:val="en-US" w:eastAsia="zh-CN"/>
        </w:rPr>
      </w:pPr>
      <w:r>
        <w:rPr>
          <w:rStyle w:val="26"/>
          <w:rFonts w:hint="eastAsia" w:ascii="仿宋" w:hAnsi="仿宋" w:eastAsia="仿宋"/>
          <w:b w:val="0"/>
          <w:bCs w:val="0"/>
          <w:lang w:eastAsia="zh-CN"/>
        </w:rPr>
        <w:t>五、财政拨款支出决算明细表</w:t>
      </w:r>
    </w:p>
    <w:p>
      <w:pPr>
        <w:pStyle w:val="2"/>
        <w:rPr>
          <w:rStyle w:val="26"/>
          <w:rFonts w:hint="eastAsia" w:ascii="仿宋" w:hAnsi="仿宋" w:eastAsia="仿宋"/>
          <w:b w:val="0"/>
          <w:bCs w:val="0"/>
          <w:lang w:eastAsia="zh-CN"/>
        </w:rPr>
      </w:pPr>
      <w:bookmarkStart w:id="148" w:name="_Toc15396624"/>
      <w:bookmarkStart w:id="149" w:name="_Toc24559"/>
      <w:bookmarkStart w:id="150" w:name="_Toc9780"/>
      <w:r>
        <w:rPr>
          <w:rStyle w:val="26"/>
          <w:rFonts w:hint="eastAsia" w:ascii="仿宋" w:hAnsi="仿宋" w:eastAsia="仿宋"/>
          <w:b w:val="0"/>
          <w:bCs w:val="0"/>
          <w:lang w:eastAsia="zh-CN"/>
        </w:rPr>
        <w:t>六、一般公共预算财政拨款支出决算表</w:t>
      </w:r>
      <w:bookmarkEnd w:id="148"/>
      <w:bookmarkEnd w:id="149"/>
      <w:bookmarkEnd w:id="150"/>
    </w:p>
    <w:p>
      <w:pPr>
        <w:pStyle w:val="2"/>
        <w:rPr>
          <w:rStyle w:val="26"/>
          <w:rFonts w:hint="eastAsia" w:ascii="仿宋" w:hAnsi="仿宋" w:eastAsia="仿宋"/>
          <w:b w:val="0"/>
          <w:bCs w:val="0"/>
          <w:lang w:eastAsia="zh-CN"/>
        </w:rPr>
      </w:pPr>
      <w:bookmarkStart w:id="151" w:name="_Toc15396625"/>
      <w:bookmarkStart w:id="152" w:name="_Toc16670"/>
      <w:bookmarkStart w:id="153" w:name="_Toc5288"/>
      <w:r>
        <w:rPr>
          <w:rStyle w:val="26"/>
          <w:rFonts w:hint="eastAsia" w:ascii="仿宋" w:hAnsi="仿宋" w:eastAsia="仿宋"/>
          <w:b w:val="0"/>
          <w:bCs w:val="0"/>
          <w:lang w:eastAsia="zh-CN"/>
        </w:rPr>
        <w:t>七、一般公共预算财政拨款支出决算明细表</w:t>
      </w:r>
      <w:bookmarkEnd w:id="151"/>
      <w:bookmarkEnd w:id="152"/>
      <w:bookmarkEnd w:id="153"/>
    </w:p>
    <w:p>
      <w:pPr>
        <w:pStyle w:val="2"/>
        <w:rPr>
          <w:rStyle w:val="26"/>
          <w:rFonts w:hint="eastAsia" w:ascii="仿宋" w:hAnsi="仿宋" w:eastAsia="仿宋"/>
          <w:b w:val="0"/>
          <w:bCs w:val="0"/>
          <w:lang w:eastAsia="zh-CN"/>
        </w:rPr>
      </w:pPr>
      <w:bookmarkStart w:id="154" w:name="_Toc15396626"/>
      <w:bookmarkStart w:id="155" w:name="_Toc1340"/>
      <w:bookmarkStart w:id="156" w:name="_Toc558"/>
      <w:r>
        <w:rPr>
          <w:rStyle w:val="26"/>
          <w:rFonts w:hint="eastAsia" w:ascii="仿宋" w:hAnsi="仿宋" w:eastAsia="仿宋"/>
          <w:b w:val="0"/>
          <w:bCs w:val="0"/>
          <w:lang w:eastAsia="zh-CN"/>
        </w:rPr>
        <w:t>八、一般公共预算财政拨款基本支出决算表</w:t>
      </w:r>
      <w:bookmarkEnd w:id="154"/>
      <w:bookmarkEnd w:id="155"/>
      <w:bookmarkEnd w:id="156"/>
    </w:p>
    <w:p>
      <w:pPr>
        <w:pStyle w:val="2"/>
        <w:rPr>
          <w:rStyle w:val="26"/>
          <w:rFonts w:hint="eastAsia" w:ascii="仿宋" w:hAnsi="仿宋" w:eastAsia="仿宋"/>
          <w:b w:val="0"/>
          <w:bCs w:val="0"/>
          <w:lang w:eastAsia="zh-CN"/>
        </w:rPr>
      </w:pPr>
      <w:bookmarkStart w:id="157" w:name="_Toc15396627"/>
      <w:bookmarkStart w:id="158" w:name="_Toc31445"/>
      <w:bookmarkStart w:id="159" w:name="_Toc23914"/>
      <w:r>
        <w:rPr>
          <w:rStyle w:val="26"/>
          <w:rFonts w:hint="eastAsia" w:ascii="仿宋" w:hAnsi="仿宋" w:eastAsia="仿宋"/>
          <w:b w:val="0"/>
          <w:bCs w:val="0"/>
          <w:lang w:eastAsia="zh-CN"/>
        </w:rPr>
        <w:t>九、一般公共预算财政拨款项目支出决算表</w:t>
      </w:r>
      <w:bookmarkEnd w:id="157"/>
      <w:bookmarkEnd w:id="158"/>
      <w:bookmarkEnd w:id="159"/>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十、一般公共预算财政拨款“三公”经费支出决算表</w:t>
      </w:r>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十一、政府性基金预算财政拨款收入支出决算表</w:t>
      </w:r>
    </w:p>
    <w:p>
      <w:pPr>
        <w:rPr>
          <w:rStyle w:val="26"/>
          <w:rFonts w:hint="eastAsia" w:ascii="仿宋" w:hAnsi="仿宋" w:eastAsia="仿宋"/>
          <w:b w:val="0"/>
          <w:bCs w:val="0"/>
          <w:lang w:eastAsia="zh-CN"/>
        </w:rPr>
      </w:pPr>
      <w:r>
        <w:rPr>
          <w:rStyle w:val="26"/>
          <w:rFonts w:hint="eastAsia" w:ascii="仿宋" w:hAnsi="仿宋" w:eastAsia="仿宋"/>
          <w:b w:val="0"/>
          <w:bCs w:val="0"/>
          <w:lang w:eastAsia="zh-CN"/>
        </w:rPr>
        <w:t>十二、政府性基金预算财政拨款“三公”经费支出决算表</w:t>
      </w:r>
    </w:p>
    <w:p>
      <w:pPr>
        <w:pStyle w:val="2"/>
        <w:rPr>
          <w:rStyle w:val="26"/>
          <w:rFonts w:hint="eastAsia" w:ascii="仿宋" w:hAnsi="仿宋" w:eastAsia="仿宋"/>
          <w:b w:val="0"/>
          <w:bCs w:val="0"/>
          <w:lang w:eastAsia="zh-CN"/>
        </w:rPr>
      </w:pPr>
      <w:r>
        <w:rPr>
          <w:rStyle w:val="26"/>
          <w:rFonts w:hint="eastAsia" w:ascii="仿宋" w:hAnsi="仿宋" w:eastAsia="仿宋"/>
          <w:b w:val="0"/>
          <w:bCs w:val="0"/>
          <w:lang w:eastAsia="zh-CN"/>
        </w:rPr>
        <w:t>十三、国有资本经营预算财政拨款收入支出决算表</w:t>
      </w:r>
    </w:p>
    <w:p>
      <w:pPr>
        <w:rPr>
          <w:rFonts w:hint="eastAsia"/>
          <w:lang w:eastAsia="zh-CN"/>
        </w:rPr>
      </w:pPr>
      <w:r>
        <w:rPr>
          <w:rStyle w:val="26"/>
          <w:rFonts w:hint="eastAsia" w:ascii="仿宋" w:hAnsi="仿宋" w:eastAsia="仿宋"/>
          <w:b w:val="0"/>
          <w:bCs w:val="0"/>
          <w:lang w:eastAsia="zh-CN"/>
        </w:rPr>
        <w:t>十四、国有资本经营预算财政拨款支出决算表</w:t>
      </w:r>
    </w:p>
    <w:sectPr>
      <w:headerReference r:id="rId5" w:type="default"/>
      <w:footerReference r:id="rId6"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CF8709D6"/>
    <w:multiLevelType w:val="singleLevel"/>
    <w:tmpl w:val="CF8709D6"/>
    <w:lvl w:ilvl="0" w:tentative="0">
      <w:start w:val="1"/>
      <w:numFmt w:val="decimal"/>
      <w:suff w:val="nothing"/>
      <w:lvlText w:val="（%1）"/>
      <w:lvlJc w:val="left"/>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E8495E8A"/>
    <w:multiLevelType w:val="singleLevel"/>
    <w:tmpl w:val="E8495E8A"/>
    <w:lvl w:ilvl="0" w:tentative="0">
      <w:start w:val="2"/>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4CFDF35"/>
    <w:multiLevelType w:val="singleLevel"/>
    <w:tmpl w:val="14CFDF35"/>
    <w:lvl w:ilvl="0" w:tentative="0">
      <w:start w:val="1"/>
      <w:numFmt w:val="chineseCounting"/>
      <w:suff w:val="nothing"/>
      <w:lvlText w:val="（%1）"/>
      <w:lvlJc w:val="left"/>
      <w:rPr>
        <w:rFonts w:hint="eastAsia"/>
      </w:rPr>
    </w:lvl>
  </w:abstractNum>
  <w:abstractNum w:abstractNumId="7">
    <w:nsid w:val="202D6705"/>
    <w:multiLevelType w:val="singleLevel"/>
    <w:tmpl w:val="202D6705"/>
    <w:lvl w:ilvl="0" w:tentative="0">
      <w:start w:val="1"/>
      <w:numFmt w:val="chineseCounting"/>
      <w:suff w:val="nothing"/>
      <w:lvlText w:val="（%1）"/>
      <w:lvlJc w:val="left"/>
      <w:rPr>
        <w:rFonts w:hint="eastAsia"/>
      </w:rPr>
    </w:lvl>
  </w:abstractNum>
  <w:abstractNum w:abstractNumId="8">
    <w:nsid w:val="2FAB010B"/>
    <w:multiLevelType w:val="multilevel"/>
    <w:tmpl w:val="2FAB010B"/>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064A595"/>
    <w:multiLevelType w:val="singleLevel"/>
    <w:tmpl w:val="3064A595"/>
    <w:lvl w:ilvl="0" w:tentative="0">
      <w:start w:val="1"/>
      <w:numFmt w:val="chineseCounting"/>
      <w:suff w:val="nothing"/>
      <w:lvlText w:val="%1、"/>
      <w:lvlJc w:val="left"/>
      <w:rPr>
        <w:rFonts w:hint="eastAsia"/>
      </w:rPr>
    </w:lvl>
  </w:abstractNum>
  <w:abstractNum w:abstractNumId="10">
    <w:nsid w:val="4CECB37B"/>
    <w:multiLevelType w:val="singleLevel"/>
    <w:tmpl w:val="4CECB37B"/>
    <w:lvl w:ilvl="0" w:tentative="0">
      <w:start w:val="1"/>
      <w:numFmt w:val="decimal"/>
      <w:suff w:val="nothing"/>
      <w:lvlText w:val="（%1）"/>
      <w:lvlJc w:val="left"/>
    </w:lvl>
  </w:abstractNum>
  <w:abstractNum w:abstractNumId="11">
    <w:nsid w:val="6B9FAB72"/>
    <w:multiLevelType w:val="singleLevel"/>
    <w:tmpl w:val="6B9FAB72"/>
    <w:lvl w:ilvl="0" w:tentative="0">
      <w:start w:val="5"/>
      <w:numFmt w:val="chineseCounting"/>
      <w:suff w:val="nothing"/>
      <w:lvlText w:val="%1、"/>
      <w:lvlJc w:val="left"/>
      <w:rPr>
        <w:rFonts w:hint="eastAsia"/>
      </w:rPr>
    </w:lvl>
  </w:abstractNum>
  <w:num w:numId="1">
    <w:abstractNumId w:val="0"/>
  </w:num>
  <w:num w:numId="2">
    <w:abstractNumId w:val="10"/>
  </w:num>
  <w:num w:numId="3">
    <w:abstractNumId w:val="5"/>
  </w:num>
  <w:num w:numId="4">
    <w:abstractNumId w:val="1"/>
  </w:num>
  <w:num w:numId="5">
    <w:abstractNumId w:val="3"/>
  </w:num>
  <w:num w:numId="6">
    <w:abstractNumId w:val="9"/>
  </w:num>
  <w:num w:numId="7">
    <w:abstractNumId w:val="7"/>
  </w:num>
  <w:num w:numId="8">
    <w:abstractNumId w:val="6"/>
  </w:num>
  <w:num w:numId="9">
    <w:abstractNumId w:val="8"/>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1AF2"/>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836FA"/>
    <w:rsid w:val="040C368D"/>
    <w:rsid w:val="06E20C69"/>
    <w:rsid w:val="09157201"/>
    <w:rsid w:val="0A2032A3"/>
    <w:rsid w:val="0AD2388C"/>
    <w:rsid w:val="0CCB2260"/>
    <w:rsid w:val="0CD024A7"/>
    <w:rsid w:val="0DEE7E74"/>
    <w:rsid w:val="0EB950F3"/>
    <w:rsid w:val="0FD25D04"/>
    <w:rsid w:val="10C055FF"/>
    <w:rsid w:val="112365CA"/>
    <w:rsid w:val="118107EC"/>
    <w:rsid w:val="11EC3632"/>
    <w:rsid w:val="13E71942"/>
    <w:rsid w:val="1489566A"/>
    <w:rsid w:val="155A7542"/>
    <w:rsid w:val="16892E1D"/>
    <w:rsid w:val="16BB723D"/>
    <w:rsid w:val="173A0F92"/>
    <w:rsid w:val="18015F3F"/>
    <w:rsid w:val="195427D6"/>
    <w:rsid w:val="1BE8440E"/>
    <w:rsid w:val="1D155CEE"/>
    <w:rsid w:val="1DE3711C"/>
    <w:rsid w:val="1E5D6D0A"/>
    <w:rsid w:val="1EDC0CE3"/>
    <w:rsid w:val="1F454F9A"/>
    <w:rsid w:val="20F57F95"/>
    <w:rsid w:val="21110711"/>
    <w:rsid w:val="23E1632F"/>
    <w:rsid w:val="240371BF"/>
    <w:rsid w:val="247D4544"/>
    <w:rsid w:val="24D26815"/>
    <w:rsid w:val="250D49C3"/>
    <w:rsid w:val="26C7451D"/>
    <w:rsid w:val="27842671"/>
    <w:rsid w:val="27E80D11"/>
    <w:rsid w:val="29FD04D3"/>
    <w:rsid w:val="2ABE7A3E"/>
    <w:rsid w:val="2ACB7A8D"/>
    <w:rsid w:val="2ACF1FA2"/>
    <w:rsid w:val="2B2D33A0"/>
    <w:rsid w:val="2D2C18D7"/>
    <w:rsid w:val="30600240"/>
    <w:rsid w:val="31507FA6"/>
    <w:rsid w:val="319F7F4E"/>
    <w:rsid w:val="33CC4EE1"/>
    <w:rsid w:val="35F567B8"/>
    <w:rsid w:val="35F94FE3"/>
    <w:rsid w:val="37AB6EF3"/>
    <w:rsid w:val="385E2D01"/>
    <w:rsid w:val="38CC54FB"/>
    <w:rsid w:val="391E10A1"/>
    <w:rsid w:val="3BAB70E1"/>
    <w:rsid w:val="3C0C0783"/>
    <w:rsid w:val="3CE428CD"/>
    <w:rsid w:val="3EA10484"/>
    <w:rsid w:val="40560BC5"/>
    <w:rsid w:val="42AA334D"/>
    <w:rsid w:val="460A19A5"/>
    <w:rsid w:val="46130C84"/>
    <w:rsid w:val="464610AA"/>
    <w:rsid w:val="46B15F05"/>
    <w:rsid w:val="47442CC0"/>
    <w:rsid w:val="49010D02"/>
    <w:rsid w:val="493C27E9"/>
    <w:rsid w:val="496F39ED"/>
    <w:rsid w:val="499C7B6E"/>
    <w:rsid w:val="49FF41D3"/>
    <w:rsid w:val="4A555432"/>
    <w:rsid w:val="4BE068DB"/>
    <w:rsid w:val="4BF6002B"/>
    <w:rsid w:val="4C533EEE"/>
    <w:rsid w:val="4D2D3B99"/>
    <w:rsid w:val="4DDD416A"/>
    <w:rsid w:val="4ECE2238"/>
    <w:rsid w:val="4F0E5C48"/>
    <w:rsid w:val="50CC18DC"/>
    <w:rsid w:val="50D23644"/>
    <w:rsid w:val="51FE1B1E"/>
    <w:rsid w:val="5298491B"/>
    <w:rsid w:val="54A9186B"/>
    <w:rsid w:val="564163E2"/>
    <w:rsid w:val="572872B1"/>
    <w:rsid w:val="579C4900"/>
    <w:rsid w:val="58014E83"/>
    <w:rsid w:val="58165F38"/>
    <w:rsid w:val="5831356E"/>
    <w:rsid w:val="5A395053"/>
    <w:rsid w:val="5CB44EDB"/>
    <w:rsid w:val="5FF817FB"/>
    <w:rsid w:val="60092DC5"/>
    <w:rsid w:val="60A036F5"/>
    <w:rsid w:val="611E7E7F"/>
    <w:rsid w:val="62B30F42"/>
    <w:rsid w:val="63094469"/>
    <w:rsid w:val="633D4717"/>
    <w:rsid w:val="639509DB"/>
    <w:rsid w:val="63A52F31"/>
    <w:rsid w:val="63BB7376"/>
    <w:rsid w:val="63C85374"/>
    <w:rsid w:val="643C19E8"/>
    <w:rsid w:val="64694145"/>
    <w:rsid w:val="64825603"/>
    <w:rsid w:val="64AA291A"/>
    <w:rsid w:val="64CA39A1"/>
    <w:rsid w:val="68683AC7"/>
    <w:rsid w:val="68C71D58"/>
    <w:rsid w:val="69841F77"/>
    <w:rsid w:val="69A166BF"/>
    <w:rsid w:val="6A5E5F8B"/>
    <w:rsid w:val="6AE3463F"/>
    <w:rsid w:val="6B190232"/>
    <w:rsid w:val="6B71380A"/>
    <w:rsid w:val="6B94618A"/>
    <w:rsid w:val="6C197CA0"/>
    <w:rsid w:val="6C4A05C8"/>
    <w:rsid w:val="6E1B7061"/>
    <w:rsid w:val="6FFA5088"/>
    <w:rsid w:val="71737292"/>
    <w:rsid w:val="719D34B8"/>
    <w:rsid w:val="72734D90"/>
    <w:rsid w:val="73831456"/>
    <w:rsid w:val="73C36894"/>
    <w:rsid w:val="73F9054D"/>
    <w:rsid w:val="757C7C5D"/>
    <w:rsid w:val="79101DE7"/>
    <w:rsid w:val="798D5574"/>
    <w:rsid w:val="7B31787E"/>
    <w:rsid w:val="7B856B2C"/>
    <w:rsid w:val="7CCA50FE"/>
    <w:rsid w:val="7D9936AD"/>
    <w:rsid w:val="7E0B392B"/>
    <w:rsid w:val="7F59391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lenovo\Desktop\&#36130;&#21153;&#20915;&#31639;-&#27700;&#25991;&#38431;-&#20844;&#243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36130;&#21153;&#20915;&#31639;-&#27700;&#25991;&#38431;-&#20844;&#243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lenovo\Desktop\&#36130;&#21153;&#20915;&#31639;-&#27700;&#25991;&#38431;-&#20844;&#243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36130;&#21153;&#20915;&#31639;-&#27700;&#25991;&#38431;-&#20844;&#243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36130;&#21153;&#20915;&#31639;-&#27700;&#25991;&#38431;-&#20844;&#243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近两年收、支决算总计变动情况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gradFill>
              <a:gsLst>
                <a:gs pos="0">
                  <a:srgbClr val="14CD68"/>
                </a:gs>
                <a:gs pos="100000">
                  <a:srgbClr val="035C7D"/>
                </a:gs>
              </a:gsLst>
              <a:path path="circle">
                <a:fillToRect l="100000" t="100000"/>
              </a:path>
              <a:tileRect r="-100000" b="-100000"/>
            </a:gradFill>
            <a:ln>
              <a:noFill/>
            </a:ln>
            <a:effectLst/>
          </c:spPr>
          <c:invertIfNegative val="0"/>
          <c:dLbls>
            <c:dLbl>
              <c:idx val="0"/>
              <c:layout>
                <c:manualLayout>
                  <c:x val="-0.00208333333333333"/>
                  <c:y val="0"/>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7506.15</a:t>
                    </a:r>
                    <a:endParaRPr b="1"/>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6">
                <a:lumMod val="75000"/>
              </a:schemeClr>
            </a:solidFill>
            <a:ln>
              <a:noFill/>
            </a:ln>
            <a:effectLst/>
          </c:spPr>
          <c:invertIfNegative val="0"/>
          <c:dPt>
            <c:idx val="0"/>
            <c:invertIfNegative val="0"/>
            <c:bubble3D val="0"/>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11127.11</a:t>
                    </a:r>
                    <a:endParaRPr b="1"/>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不同结构收入占比</a:t>
            </a:r>
            <a:endParaRPr b="1"/>
          </a:p>
        </c:rich>
      </c:tx>
      <c:layout>
        <c:manualLayout>
          <c:xMode val="edge"/>
          <c:yMode val="edge"/>
          <c:x val="0.0220833333333333"/>
          <c:y val="0.0451388888888889"/>
        </c:manualLayout>
      </c:layout>
      <c:overlay val="0"/>
      <c:spPr>
        <a:noFill/>
        <a:ln>
          <a:noFill/>
        </a:ln>
        <a:effectLst/>
      </c:spPr>
    </c:title>
    <c:autoTitleDeleted val="0"/>
    <c:plotArea>
      <c:layout/>
      <c:pieChart>
        <c:varyColors val="1"/>
        <c:ser>
          <c:idx val="0"/>
          <c:order val="0"/>
          <c:tx>
            <c:strRef>
              <c:f>'[财务决算-水文队-公开.xlsx]2'!$C$3</c:f>
              <c:strCache>
                <c:ptCount val="1"/>
                <c:pt idx="0">
                  <c:v>比率</c:v>
                </c:pt>
              </c:strCache>
            </c:strRef>
          </c:tx>
          <c:spPr/>
          <c:explosion val="0"/>
          <c:dPt>
            <c:idx val="0"/>
            <c:bubble3D val="0"/>
            <c:explosion val="0"/>
            <c:spPr>
              <a:solidFill>
                <a:schemeClr val="tx2">
                  <a:lumMod val="40000"/>
                  <a:lumOff val="6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05654761904762"/>
                  <c:y val="-0.3382800608828"/>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0479166666666667"/>
                  <c:y val="-0.020833333333333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0895833333333333"/>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'[财务决算-水文队-公开.xlsx]2'!$B$4:$B$6</c:f>
              <c:strCache>
                <c:ptCount val="3"/>
                <c:pt idx="0">
                  <c:v>财政拨款收入</c:v>
                </c:pt>
                <c:pt idx="1">
                  <c:v>经营收入</c:v>
                </c:pt>
                <c:pt idx="2">
                  <c:v>其他收入</c:v>
                </c:pt>
              </c:strCache>
            </c:strRef>
          </c:cat>
          <c:val>
            <c:numRef>
              <c:f>'[财务决算-水文队-公开.xlsx]2'!$C$4:$C$6</c:f>
              <c:numCache>
                <c:formatCode>0.00%</c:formatCode>
                <c:ptCount val="3"/>
                <c:pt idx="0">
                  <c:v>0.9732</c:v>
                </c:pt>
                <c:pt idx="1">
                  <c:v>0.0112</c:v>
                </c:pt>
                <c:pt idx="2">
                  <c:v>0.0156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solidFill>
                <a:latin typeface="+mn-lt"/>
                <a:ea typeface="+mn-ea"/>
                <a:cs typeface="+mn-cs"/>
              </a:defRPr>
            </a:pPr>
            <a:r>
              <a:rPr b="1">
                <a:solidFill>
                  <a:schemeClr val="tx1"/>
                </a:solidFill>
              </a:rPr>
              <a:t>支出决算分类占比</a:t>
            </a:r>
            <a:endParaRPr b="1">
              <a:solidFill>
                <a:schemeClr val="tx1"/>
              </a:solidFill>
            </a:endParaRPr>
          </a:p>
        </c:rich>
      </c:tx>
      <c:layout>
        <c:manualLayout>
          <c:xMode val="edge"/>
          <c:yMode val="edge"/>
          <c:x val="0.0134608126808404"/>
          <c:y val="0.0260586319218241"/>
        </c:manualLayout>
      </c:layout>
      <c:overlay val="0"/>
      <c:spPr>
        <a:noFill/>
        <a:ln>
          <a:noFill/>
        </a:ln>
        <a:effectLst/>
      </c:spPr>
    </c:title>
    <c:autoTitleDeleted val="0"/>
    <c:plotArea>
      <c:layout/>
      <c:pieChart>
        <c:varyColors val="1"/>
        <c:ser>
          <c:idx val="0"/>
          <c:order val="0"/>
          <c:tx>
            <c:strRef>
              <c:f>'[财务决算-水文队-公开.xlsx]Sheet1'!$C$23:$C$24</c:f>
              <c:strCache>
                <c:ptCount val="1"/>
                <c:pt idx="0">
                  <c:v>支出决算分类占比 比率</c:v>
                </c:pt>
              </c:strCache>
            </c:strRef>
          </c:tx>
          <c:spPr>
            <a:solidFill>
              <a:srgbClr val="1898B4"/>
            </a:solidFill>
          </c:spPr>
          <c:explosion val="0"/>
          <c:dPt>
            <c:idx val="0"/>
            <c:bubble3D val="0"/>
            <c:spPr>
              <a:solidFill>
                <a:srgbClr val="1898B4"/>
              </a:solidFill>
              <a:ln w="19050">
                <a:solidFill>
                  <a:schemeClr val="lt1"/>
                </a:solidFill>
              </a:ln>
              <a:effectLst/>
            </c:spPr>
          </c:dPt>
          <c:dPt>
            <c:idx val="1"/>
            <c:bubble3D val="0"/>
            <c:explosion val="5"/>
            <c:spPr>
              <a:solidFill>
                <a:schemeClr val="accent6">
                  <a:lumMod val="60000"/>
                  <a:lumOff val="40000"/>
                </a:schemeClr>
              </a:solidFill>
              <a:ln w="19050">
                <a:solidFill>
                  <a:schemeClr val="lt1"/>
                </a:solidFill>
              </a:ln>
              <a:effectLst/>
            </c:spPr>
          </c:dPt>
          <c:dPt>
            <c:idx val="2"/>
            <c:bubble3D val="0"/>
            <c:spPr>
              <a:gradFill>
                <a:gsLst>
                  <a:gs pos="13000">
                    <a:srgbClr val="E03E3E">
                      <a:alpha val="100000"/>
                    </a:srgbClr>
                  </a:gs>
                  <a:gs pos="40000">
                    <a:srgbClr val="A23232">
                      <a:alpha val="100000"/>
                    </a:srgbClr>
                  </a:gs>
                  <a:gs pos="26000">
                    <a:srgbClr val="C13838">
                      <a:alpha val="100000"/>
                    </a:srgbClr>
                  </a:gs>
                  <a:gs pos="0">
                    <a:srgbClr val="FE4444"/>
                  </a:gs>
                  <a:gs pos="100000">
                    <a:srgbClr val="832B2B"/>
                  </a:gs>
                </a:gsLst>
                <a:path path="circle">
                  <a:fillToRect l="100000" t="100000"/>
                </a:path>
                <a:tileRect r="-100000" b="-100000"/>
              </a:gradFill>
              <a:ln w="19050">
                <a:solidFill>
                  <a:schemeClr val="lt1"/>
                </a:solidFill>
              </a:ln>
              <a:effectLst/>
            </c:spPr>
          </c:dPt>
          <c:dLbls>
            <c:dLbl>
              <c:idx val="0"/>
              <c:layout>
                <c:manualLayout>
                  <c:x val="0.00181510164569216"/>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mn-lt"/>
                        <a:ea typeface="+mn-ea"/>
                        <a:cs typeface="+mn-cs"/>
                      </a:defRPr>
                    </a:pPr>
                    <a:r>
                      <a:rPr>
                        <a:solidFill>
                          <a:schemeClr val="tx1"/>
                        </a:solidFill>
                      </a:rPr>
                      <a:t>基本支出</a:t>
                    </a:r>
                    <a:endParaRPr>
                      <a:solidFill>
                        <a:schemeClr val="tx1"/>
                      </a:solidFill>
                    </a:endParaRPr>
                  </a:p>
                  <a:p>
                    <a:pPr defTabSz="914400">
                      <a:defRPr lang="zh-CN" sz="900" b="0" i="0" u="none" strike="noStrike" kern="1200" baseline="0">
                        <a:solidFill>
                          <a:schemeClr val="tx1"/>
                        </a:solidFill>
                        <a:latin typeface="+mn-lt"/>
                        <a:ea typeface="+mn-ea"/>
                        <a:cs typeface="+mn-cs"/>
                      </a:defRPr>
                    </a:pPr>
                    <a:r>
                      <a:rPr>
                        <a:solidFill>
                          <a:schemeClr val="tx1"/>
                        </a:solidFill>
                      </a:rPr>
                      <a:t> 61.35% </a:t>
                    </a:r>
                    <a:endParaRPr>
                      <a:solidFill>
                        <a:schemeClr val="tx1"/>
                      </a:solidFill>
                    </a:endParaRPr>
                  </a:p>
                </c:rich>
              </c:tx>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'[财务决算-水文队-公开.xlsx]Sheet1'!$B$25:$B$27</c:f>
              <c:strCache>
                <c:ptCount val="3"/>
                <c:pt idx="0">
                  <c:v>基本支出</c:v>
                </c:pt>
                <c:pt idx="1">
                  <c:v>项目支出</c:v>
                </c:pt>
                <c:pt idx="2">
                  <c:v>经营支出</c:v>
                </c:pt>
              </c:strCache>
            </c:strRef>
          </c:cat>
          <c:val>
            <c:numRef>
              <c:f>'[财务决算-水文队-公开.xlsx]Sheet1'!$C$25:$C$27</c:f>
              <c:numCache>
                <c:formatCode>0.00%</c:formatCode>
                <c:ptCount val="3"/>
                <c:pt idx="0">
                  <c:v>0.6135</c:v>
                </c:pt>
                <c:pt idx="1">
                  <c:v>0.3848</c:v>
                </c:pt>
                <c:pt idx="2">
                  <c:v>0.0017</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manualLayout>
          <c:xMode val="edge"/>
          <c:yMode val="edge"/>
          <c:x val="0.252178121974831"/>
          <c:y val="0.902559690255969"/>
          <c:w val="0.459220716360116"/>
          <c:h val="0.063024306302430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近两年财政收、支总计变动情况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12700"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11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bg1">
          <a:lumMod val="85000"/>
        </a:schemeClr>
      </a:solidFill>
      <a:round/>
    </a:ln>
    <a:effectLst/>
  </c:spPr>
  <c:txPr>
    <a:bodyPr/>
    <a:lstStyle/>
    <a:p>
      <a:pPr>
        <a:defRPr lang="zh-CN" b="1"/>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一般财政拨款支出决算变动情况</a:t>
            </a:r>
            <a:endParaRPr b="1"/>
          </a:p>
        </c:rich>
      </c:tx>
      <c:layout>
        <c:manualLayout>
          <c:xMode val="edge"/>
          <c:yMode val="edge"/>
          <c:x val="0.20625"/>
          <c:y val="0.0347222222222222"/>
        </c:manualLayout>
      </c:layout>
      <c:overlay val="0"/>
      <c:spPr>
        <a:noFill/>
        <a:ln>
          <a:noFill/>
        </a:ln>
        <a:effectLst/>
      </c:spPr>
    </c:title>
    <c:autoTitleDeleted val="0"/>
    <c:plotArea>
      <c:layout/>
      <c:barChart>
        <c:barDir val="col"/>
        <c:grouping val="clustered"/>
        <c:varyColors val="0"/>
        <c:ser>
          <c:idx val="0"/>
          <c:order val="0"/>
          <c:tx>
            <c:strRef>
              <c:f>"2019"</c:f>
              <c:strCache>
                <c:ptCount val="1"/>
                <c:pt idx="0">
                  <c:v>2019</c:v>
                </c:pt>
              </c:strCache>
            </c:strRef>
          </c:tx>
          <c:spPr>
            <a:gradFill>
              <a:gsLst>
                <a:gs pos="0">
                  <a:srgbClr val="9EE256"/>
                </a:gs>
                <a:gs pos="100000">
                  <a:srgbClr val="52762D"/>
                </a:gs>
              </a:gsLst>
              <a:path path="circle">
                <a:fillToRect l="100000" t="100000"/>
              </a:path>
              <a:tileRect r="-100000" b="-100000"/>
            </a:gradFill>
            <a:ln>
              <a:noFill/>
            </a:ln>
            <a:effectLst/>
          </c:spPr>
          <c:invertIfNegative val="0"/>
          <c:dLbls>
            <c:dLbl>
              <c:idx val="0"/>
              <c:layout>
                <c:manualLayout>
                  <c:x val="-0.00388556810444952"/>
                  <c:y val="0"/>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b="1"/>
                      <a:t>6349.63</a:t>
                    </a:r>
                    <a:endParaRPr lang="en-US" altLang="zh-CN" b="1"/>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Sheet1!$A$47:$B$47</c15:sqref>
                  </c15:fullRef>
                </c:ext>
              </c:extLst>
              <c:f>'[财务决算-水文队-公开.xlsx]Sheet1'!$B$47</c:f>
              <c:numCache>
                <c:formatCode>0.00_ </c:formatCode>
                <c:ptCount val="1"/>
                <c:pt idx="0">
                  <c:v>6349.63</c:v>
                </c:pt>
              </c:numCache>
            </c:numRef>
          </c:val>
        </c:ser>
        <c:ser>
          <c:idx val="1"/>
          <c:order val="1"/>
          <c:tx>
            <c:strRef>
              <c:f>'[财务决算-水文队-公开.xlsx]Sheet1'!$A$48</c:f>
              <c:strCache>
                <c:ptCount val="1"/>
                <c:pt idx="0">
                  <c:v>2020</c:v>
                </c:pt>
              </c:strCache>
            </c:strRef>
          </c:tx>
          <c:spPr>
            <a:solidFill>
              <a:schemeClr val="accent2">
                <a:lumMod val="60000"/>
                <a:lumOff val="40000"/>
              </a:schemeClr>
            </a:solidFill>
            <a:ln>
              <a:noFill/>
            </a:ln>
            <a:effectLst/>
          </c:spPr>
          <c:invertIfNegative val="0"/>
          <c:dPt>
            <c:idx val="0"/>
            <c:invertIfNegative val="0"/>
            <c:bubble3D val="0"/>
          </c:dPt>
          <c:dLbls>
            <c:dLbl>
              <c:idx val="0"/>
              <c:layout/>
              <c:tx>
                <c:rich>
                  <a:bodyPr rot="0" spcFirstLastPara="0" vertOverflow="ellipsis" vert="horz" wrap="squar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lang="en-US" altLang="zh-CN" b="1"/>
                      <a:t>10094.96</a:t>
                    </a:r>
                    <a:endParaRPr lang="en-US" altLang="zh-CN" b="1"/>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'[财务决算-水文队-公开.xlsx]Sheet1'!$A$46:$B$46</c15:sqref>
                  </c15:fullRef>
                </c:ext>
              </c:extLst>
              <c:f>'[财务决算-水文队-公开.xlsx]Sheet1'!$B$46</c:f>
              <c:strCache>
                <c:ptCount val="1"/>
                <c:pt idx="0">
                  <c:v>收、支总计（万）</c:v>
                </c:pt>
              </c:strCache>
            </c:strRef>
          </c:cat>
          <c:val>
            <c:numRef>
              <c:extLst>
                <c:ext xmlns:c15="http://schemas.microsoft.com/office/drawing/2012/chart" uri="{02D57815-91ED-43cb-92C2-25804820EDAC}">
                  <c15:fullRef>
                    <c15:sqref>Sheet1!$A$48:$B$48</c15:sqref>
                  </c15:fullRef>
                </c:ext>
              </c:extLst>
              <c:f>'[财务决算-水文队-公开.xlsx]Sheet1'!$B$48</c:f>
              <c:numCache>
                <c:formatCode>0.00_ </c:formatCode>
                <c:ptCount val="1"/>
                <c:pt idx="0">
                  <c:v>10094.96</c:v>
                </c:pt>
              </c:numCache>
            </c:numRef>
          </c:val>
        </c:ser>
        <c:dLbls>
          <c:showLegendKey val="0"/>
          <c:showVal val="1"/>
          <c:showCatName val="0"/>
          <c:showSerName val="0"/>
          <c:showPercent val="0"/>
          <c:showBubbleSize val="0"/>
        </c:dLbls>
        <c:gapWidth val="500"/>
        <c:overlap val="-100"/>
        <c:axId val="677507277"/>
        <c:axId val="466075150"/>
      </c:barChart>
      <c:catAx>
        <c:axId val="67750727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466075150"/>
        <c:crosses val="autoZero"/>
        <c:auto val="1"/>
        <c:lblAlgn val="ctr"/>
        <c:lblOffset val="100"/>
        <c:noMultiLvlLbl val="0"/>
      </c:catAx>
      <c:valAx>
        <c:axId val="466075150"/>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677507277"/>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299305555555556"/>
          <c:y val="0.855324074074074"/>
          <c:w val="0.4875"/>
          <c:h val="0.131944444444444"/>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蜀秦</cp:lastModifiedBy>
  <cp:lastPrinted>2021-08-24T01:56:00Z</cp:lastPrinted>
  <dcterms:modified xsi:type="dcterms:W3CDTF">2021-09-09T07:35:25Z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A50667491F6643E2BF03A04F021AB5DE</vt:lpwstr>
  </property>
</Properties>
</file>