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b/>
          <w:bCs/>
          <w:color w:val="auto"/>
          <w:sz w:val="72"/>
          <w:szCs w:val="72"/>
        </w:rPr>
      </w:pPr>
      <w:bookmarkStart w:id="1" w:name="_Toc30914"/>
      <w:bookmarkStart w:id="2" w:name="_Toc19004"/>
      <w:bookmarkStart w:id="3" w:name="_Toc15396597"/>
      <w:bookmarkStart w:id="4" w:name="_Toc15377425"/>
      <w:bookmarkStart w:id="5" w:name="_Toc5315"/>
      <w:bookmarkStart w:id="6" w:name="_Toc15378441"/>
      <w:bookmarkStart w:id="7" w:name="_Toc15377193"/>
      <w:bookmarkStart w:id="8" w:name="_Toc10590"/>
      <w:bookmarkStart w:id="9" w:name="_Toc15396475"/>
      <w:r>
        <w:rPr>
          <w:rFonts w:ascii="黑体" w:hAnsi="黑体" w:eastAsia="黑体"/>
          <w:b/>
          <w:bCs/>
          <w:color w:val="auto"/>
          <w:sz w:val="72"/>
          <w:szCs w:val="72"/>
        </w:rPr>
        <w:t>20</w:t>
      </w:r>
      <w:r>
        <w:rPr>
          <w:rFonts w:hint="eastAsia" w:ascii="黑体" w:hAnsi="黑体" w:eastAsia="黑体"/>
          <w:b/>
          <w:bCs/>
          <w:color w:val="auto"/>
          <w:sz w:val="72"/>
          <w:szCs w:val="72"/>
          <w:lang w:val="en-US" w:eastAsia="zh-CN"/>
        </w:rPr>
        <w:t>20</w:t>
      </w:r>
      <w:r>
        <w:rPr>
          <w:rFonts w:hint="eastAsia" w:ascii="方正小标宋简体" w:hAnsi="宋体" w:eastAsia="方正小标宋简体"/>
          <w:b/>
          <w:bCs/>
          <w:color w:val="auto"/>
          <w:sz w:val="72"/>
          <w:szCs w:val="72"/>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b/>
          <w:bCs/>
          <w:color w:val="auto"/>
          <w:sz w:val="72"/>
          <w:szCs w:val="72"/>
        </w:rPr>
      </w:pPr>
      <w:bookmarkStart w:id="10" w:name="_Toc15396476"/>
      <w:bookmarkStart w:id="11" w:name="_Toc4833"/>
      <w:bookmarkStart w:id="12" w:name="_Toc12341"/>
      <w:bookmarkStart w:id="13" w:name="_Toc15378442"/>
      <w:bookmarkStart w:id="14" w:name="_Toc6451"/>
      <w:bookmarkStart w:id="15" w:name="_Toc15377194"/>
      <w:bookmarkStart w:id="16" w:name="_Toc27453"/>
      <w:bookmarkStart w:id="17" w:name="_Toc15396598"/>
      <w:bookmarkStart w:id="18" w:name="_Toc15377426"/>
      <w:r>
        <w:rPr>
          <w:rFonts w:hint="eastAsia" w:ascii="方正小标宋简体" w:hAnsi="宋体" w:eastAsia="方正小标宋简体"/>
          <w:b/>
          <w:bCs/>
          <w:color w:val="auto"/>
          <w:sz w:val="72"/>
          <w:szCs w:val="72"/>
        </w:rPr>
        <w:t>四川省</w:t>
      </w:r>
      <w:bookmarkEnd w:id="0"/>
      <w:bookmarkStart w:id="19" w:name="_Toc15306268"/>
      <w:r>
        <w:rPr>
          <w:rFonts w:hint="eastAsia" w:ascii="方正小标宋简体" w:hAnsi="宋体" w:eastAsia="方正小标宋简体"/>
          <w:b/>
          <w:bCs/>
          <w:color w:val="auto"/>
          <w:sz w:val="72"/>
          <w:szCs w:val="72"/>
          <w:lang w:eastAsia="zh-CN"/>
        </w:rPr>
        <w:t>地矿局成都水文队单位</w:t>
      </w:r>
      <w:r>
        <w:rPr>
          <w:rFonts w:hint="eastAsia" w:ascii="方正小标宋简体" w:hAnsi="宋体" w:eastAsia="方正小标宋简体"/>
          <w:b/>
          <w:bCs/>
          <w:color w:val="auto"/>
          <w:sz w:val="72"/>
          <w:szCs w:val="72"/>
        </w:rPr>
        <w:t>决算</w:t>
      </w:r>
      <w:bookmarkEnd w:id="10"/>
      <w:bookmarkEnd w:id="11"/>
      <w:bookmarkEnd w:id="12"/>
      <w:bookmarkEnd w:id="13"/>
      <w:bookmarkEnd w:id="14"/>
      <w:bookmarkEnd w:id="15"/>
      <w:bookmarkEnd w:id="16"/>
      <w:bookmarkEnd w:id="17"/>
      <w:bookmarkEnd w:id="18"/>
      <w:bookmarkEnd w:id="19"/>
    </w:p>
    <w:p>
      <w:pPr>
        <w:adjustRightInd w:val="0"/>
        <w:snapToGrid w:val="0"/>
        <w:spacing w:line="360" w:lineRule="auto"/>
        <w:jc w:val="center"/>
        <w:outlineLvl w:val="0"/>
        <w:rPr>
          <w:rFonts w:ascii="方正小标宋简体" w:hAnsi="宋体" w:eastAsia="方正小标宋简体"/>
          <w:color w:val="auto"/>
          <w:sz w:val="32"/>
          <w:szCs w:val="32"/>
        </w:rPr>
      </w:pPr>
    </w:p>
    <w:p>
      <w:pPr>
        <w:pStyle w:val="10"/>
        <w:adjustRightInd w:val="0"/>
        <w:snapToGrid w:val="0"/>
        <w:spacing w:before="0" w:line="440" w:lineRule="exact"/>
        <w:ind w:firstLine="0" w:firstLineChars="0"/>
        <w:jc w:val="left"/>
        <w:rPr>
          <w:rFonts w:hint="eastAsia"/>
          <w:color w:val="auto"/>
          <w:sz w:val="24"/>
          <w:lang w:eastAsia="zh-CN"/>
        </w:rPr>
        <w:sectPr>
          <w:pgSz w:w="11906" w:h="16838"/>
          <w:pgMar w:top="1440" w:right="1800" w:bottom="1440" w:left="1800" w:header="851" w:footer="992" w:gutter="0"/>
          <w:pgNumType w:fmt="decimal"/>
          <w:cols w:space="425" w:num="1"/>
          <w:docGrid w:type="lines" w:linePitch="312" w:charSpace="0"/>
        </w:sectPr>
      </w:pPr>
    </w:p>
    <w:p>
      <w:pPr>
        <w:widowControl/>
        <w:jc w:val="center"/>
        <w:rPr>
          <w:rFonts w:hint="eastAsia" w:ascii="黑体" w:hAnsi="黑体" w:eastAsia="黑体"/>
          <w:color w:val="auto"/>
          <w:sz w:val="32"/>
          <w:szCs w:val="32"/>
        </w:rPr>
      </w:pPr>
      <w:r>
        <w:rPr>
          <w:rFonts w:hint="eastAsia" w:ascii="黑体" w:hAnsi="黑体" w:eastAsia="黑体"/>
          <w:color w:val="auto"/>
          <w:sz w:val="44"/>
          <w:szCs w:val="44"/>
        </w:rPr>
        <w:t>目</w:t>
      </w:r>
      <w:r>
        <w:rPr>
          <w:rFonts w:hint="eastAsia" w:ascii="黑体" w:hAnsi="黑体" w:eastAsia="黑体"/>
          <w:color w:val="auto"/>
          <w:sz w:val="44"/>
          <w:szCs w:val="44"/>
          <w:lang w:val="en-US" w:eastAsia="zh-CN"/>
        </w:rPr>
        <w:t xml:space="preserve"> </w:t>
      </w:r>
      <w:r>
        <w:rPr>
          <w:rFonts w:hint="eastAsia" w:ascii="黑体" w:hAnsi="黑体" w:eastAsia="黑体"/>
          <w:color w:val="auto"/>
          <w:sz w:val="44"/>
          <w:szCs w:val="44"/>
        </w:rPr>
        <w:t>录</w:t>
      </w:r>
    </w:p>
    <w:p>
      <w:pPr>
        <w:pStyle w:val="2"/>
        <w:rPr>
          <w:rFonts w:hint="eastAsia"/>
        </w:rPr>
      </w:pPr>
    </w:p>
    <w:p>
      <w:pPr>
        <w:pStyle w:val="10"/>
        <w:adjustRightInd w:val="0"/>
        <w:snapToGrid w:val="0"/>
        <w:spacing w:before="0" w:line="440" w:lineRule="exact"/>
        <w:ind w:firstLine="2240" w:firstLineChars="800"/>
        <w:jc w:val="left"/>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r>
        <w:rPr>
          <w:rFonts w:ascii="黑体" w:hAnsi="黑体" w:eastAsia="黑体" w:cstheme="minorBidi"/>
          <w:color w:val="auto"/>
          <w:sz w:val="28"/>
          <w:szCs w:val="28"/>
        </w:rPr>
        <w:fldChar w:fldCharType="begin"/>
      </w:r>
      <w:r>
        <w:rPr>
          <w:rFonts w:ascii="黑体" w:hAnsi="黑体" w:eastAsia="黑体" w:cstheme="minorBidi"/>
          <w:color w:val="auto"/>
          <w:sz w:val="28"/>
          <w:szCs w:val="28"/>
        </w:rPr>
        <w:instrText xml:space="preserve">TOC \o "1-2" \h \u </w:instrText>
      </w:r>
      <w:r>
        <w:rPr>
          <w:rFonts w:ascii="黑体" w:hAnsi="黑体" w:eastAsia="黑体" w:cstheme="minorBidi"/>
          <w:color w:val="auto"/>
          <w:sz w:val="28"/>
          <w:szCs w:val="28"/>
        </w:rPr>
        <w:fldChar w:fldCharType="separate"/>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_Toc25359 </w:instrText>
      </w:r>
      <w:r>
        <w:rPr>
          <w:rFonts w:ascii="黑体" w:hAnsi="黑体" w:eastAsia="黑体" w:cstheme="minorBidi"/>
          <w:szCs w:val="28"/>
        </w:rPr>
        <w:fldChar w:fldCharType="separate"/>
      </w:r>
      <w:r>
        <w:rPr>
          <w:rFonts w:hint="eastAsia" w:ascii="黑体" w:hAnsi="黑体" w:eastAsia="黑体"/>
        </w:rPr>
        <w:t xml:space="preserve">第一部分 </w:t>
      </w:r>
      <w:r>
        <w:rPr>
          <w:rFonts w:hint="eastAsia" w:ascii="黑体" w:hAnsi="黑体" w:eastAsia="黑体"/>
          <w:lang w:eastAsia="zh-CN"/>
        </w:rPr>
        <w:t>单位</w:t>
      </w:r>
      <w:r>
        <w:rPr>
          <w:rFonts w:hint="eastAsia" w:ascii="黑体" w:hAnsi="黑体" w:eastAsia="黑体"/>
          <w:bCs w:val="0"/>
        </w:rPr>
        <w:t>概况</w:t>
      </w:r>
      <w:r>
        <w:tab/>
      </w:r>
      <w:r>
        <w:fldChar w:fldCharType="begin"/>
      </w:r>
      <w:r>
        <w:instrText xml:space="preserve"> PAGEREF _Toc25359 \h </w:instrText>
      </w:r>
      <w:r>
        <w:fldChar w:fldCharType="separate"/>
      </w:r>
      <w:r>
        <w:t>1</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_Toc14417 </w:instrText>
      </w:r>
      <w:r>
        <w:rPr>
          <w:rFonts w:hint="eastAsia" w:ascii="仿宋" w:hAnsi="仿宋" w:eastAsia="仿宋" w:cs="Times New Roman"/>
          <w:sz w:val="28"/>
          <w:szCs w:val="28"/>
        </w:rPr>
        <w:fldChar w:fldCharType="separate"/>
      </w:r>
      <w:r>
        <w:rPr>
          <w:rFonts w:hint="eastAsia"/>
          <w:sz w:val="28"/>
          <w:szCs w:val="28"/>
        </w:rPr>
        <w:t xml:space="preserve">一、 </w:t>
      </w:r>
      <w:r>
        <w:rPr>
          <w:rFonts w:hint="eastAsia" w:ascii="仿宋" w:hAnsi="仿宋" w:eastAsia="仿宋"/>
          <w:bCs w:val="0"/>
          <w:sz w:val="28"/>
          <w:szCs w:val="28"/>
        </w:rPr>
        <w:t>职能</w:t>
      </w:r>
      <w:r>
        <w:rPr>
          <w:rFonts w:hint="eastAsia" w:ascii="仿宋" w:hAnsi="仿宋" w:eastAsia="仿宋"/>
          <w:bCs w:val="0"/>
          <w:sz w:val="28"/>
          <w:szCs w:val="28"/>
          <w:lang w:eastAsia="zh-CN"/>
        </w:rPr>
        <w:t>简介</w:t>
      </w:r>
      <w:r>
        <w:rPr>
          <w:rFonts w:hint="eastAsia"/>
          <w:sz w:val="28"/>
          <w:szCs w:val="28"/>
        </w:rPr>
        <w:tab/>
      </w:r>
      <w:r>
        <w:rPr>
          <w:rFonts w:hint="eastAsia"/>
          <w:sz w:val="28"/>
          <w:szCs w:val="28"/>
        </w:rPr>
        <w:fldChar w:fldCharType="begin"/>
      </w:r>
      <w:r>
        <w:rPr>
          <w:rFonts w:hint="eastAsia"/>
          <w:sz w:val="28"/>
          <w:szCs w:val="28"/>
        </w:rPr>
        <w:instrText xml:space="preserve"> PAGEREF _Toc14417 \h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_Toc25420 </w:instrText>
      </w:r>
      <w:r>
        <w:rPr>
          <w:rFonts w:hint="eastAsia" w:ascii="仿宋" w:hAnsi="仿宋" w:eastAsia="仿宋" w:cs="Times New Roman"/>
          <w:sz w:val="28"/>
          <w:szCs w:val="28"/>
        </w:rPr>
        <w:fldChar w:fldCharType="separate"/>
      </w:r>
      <w:r>
        <w:rPr>
          <w:rFonts w:hint="eastAsia" w:ascii="仿宋" w:hAnsi="仿宋" w:eastAsia="仿宋"/>
          <w:sz w:val="28"/>
          <w:szCs w:val="28"/>
        </w:rPr>
        <w:t xml:space="preserve">二、 </w:t>
      </w:r>
      <w:r>
        <w:rPr>
          <w:rFonts w:hint="eastAsia" w:ascii="仿宋" w:hAnsi="仿宋" w:eastAsia="仿宋"/>
          <w:bCs w:val="0"/>
          <w:sz w:val="28"/>
          <w:szCs w:val="28"/>
          <w:highlight w:val="none"/>
          <w:lang w:val="en-US" w:eastAsia="zh-CN"/>
        </w:rPr>
        <w:t>2020年重点</w:t>
      </w:r>
      <w:r>
        <w:rPr>
          <w:rFonts w:hint="eastAsia" w:ascii="仿宋" w:hAnsi="仿宋" w:eastAsia="仿宋"/>
          <w:bCs w:val="0"/>
          <w:sz w:val="28"/>
          <w:szCs w:val="28"/>
          <w:highlight w:val="none"/>
        </w:rPr>
        <w:t>工作</w:t>
      </w:r>
      <w:r>
        <w:rPr>
          <w:rFonts w:hint="eastAsia" w:ascii="仿宋" w:hAnsi="仿宋" w:eastAsia="仿宋"/>
          <w:bCs w:val="0"/>
          <w:sz w:val="28"/>
          <w:szCs w:val="28"/>
          <w:highlight w:val="none"/>
          <w:lang w:eastAsia="zh-CN"/>
        </w:rPr>
        <w:t>完成情况</w:t>
      </w:r>
      <w:r>
        <w:rPr>
          <w:rFonts w:hint="eastAsia"/>
          <w:sz w:val="28"/>
          <w:szCs w:val="28"/>
        </w:rPr>
        <w:tab/>
      </w:r>
      <w:r>
        <w:rPr>
          <w:rFonts w:hint="eastAsia"/>
          <w:sz w:val="28"/>
          <w:szCs w:val="28"/>
        </w:rPr>
        <w:fldChar w:fldCharType="begin"/>
      </w:r>
      <w:r>
        <w:rPr>
          <w:rFonts w:hint="eastAsia"/>
          <w:sz w:val="28"/>
          <w:szCs w:val="28"/>
        </w:rPr>
        <w:instrText xml:space="preserve"> PAGEREF _Toc25420 \h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_Toc109 </w:instrText>
      </w:r>
      <w:r>
        <w:rPr>
          <w:rFonts w:ascii="黑体" w:hAnsi="黑体" w:eastAsia="黑体" w:cstheme="minorBidi"/>
          <w:szCs w:val="28"/>
        </w:rPr>
        <w:fldChar w:fldCharType="separate"/>
      </w:r>
      <w:r>
        <w:rPr>
          <w:rFonts w:hint="eastAsia" w:ascii="黑体" w:hAnsi="黑体" w:eastAsia="黑体"/>
          <w:bCs/>
        </w:rPr>
        <w:t xml:space="preserve">第二部分 </w:t>
      </w:r>
      <w:r>
        <w:rPr>
          <w:rFonts w:hint="eastAsia" w:ascii="黑体" w:hAnsi="黑体" w:eastAsia="黑体"/>
          <w:bCs/>
          <w:lang w:val="en-US" w:eastAsia="zh-CN"/>
        </w:rPr>
        <w:t>2020年度</w:t>
      </w:r>
      <w:r>
        <w:rPr>
          <w:rFonts w:hint="eastAsia" w:ascii="黑体" w:hAnsi="黑体" w:eastAsia="黑体"/>
          <w:bCs/>
          <w:lang w:eastAsia="zh-CN"/>
        </w:rPr>
        <w:t>单位</w:t>
      </w:r>
      <w:r>
        <w:rPr>
          <w:rFonts w:hint="eastAsia" w:ascii="黑体" w:hAnsi="黑体" w:eastAsia="黑体"/>
          <w:bCs/>
        </w:rPr>
        <w:t>决算情况说明</w:t>
      </w:r>
      <w:r>
        <w:tab/>
      </w:r>
      <w:r>
        <w:fldChar w:fldCharType="begin"/>
      </w:r>
      <w:r>
        <w:instrText xml:space="preserve"> PAGEREF _Toc109 \h </w:instrText>
      </w:r>
      <w:r>
        <w:fldChar w:fldCharType="separate"/>
      </w:r>
      <w:r>
        <w:t>3</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_Toc4521 </w:instrText>
      </w:r>
      <w:r>
        <w:rPr>
          <w:rFonts w:hint="eastAsia" w:ascii="仿宋" w:hAnsi="仿宋" w:eastAsia="仿宋" w:cs="Times New Roman"/>
          <w:sz w:val="28"/>
          <w:szCs w:val="28"/>
        </w:rPr>
        <w:fldChar w:fldCharType="separate"/>
      </w:r>
      <w:r>
        <w:rPr>
          <w:rFonts w:hint="eastAsia" w:ascii="仿宋" w:hAnsi="仿宋" w:eastAsia="仿宋"/>
          <w:sz w:val="28"/>
          <w:szCs w:val="28"/>
        </w:rPr>
        <w:t>一、 收入支出决算总体情况说明</w:t>
      </w:r>
      <w:r>
        <w:rPr>
          <w:rFonts w:hint="eastAsia"/>
          <w:sz w:val="28"/>
          <w:szCs w:val="28"/>
        </w:rPr>
        <w:tab/>
      </w:r>
      <w:r>
        <w:rPr>
          <w:rFonts w:hint="eastAsia"/>
          <w:sz w:val="28"/>
          <w:szCs w:val="28"/>
        </w:rPr>
        <w:fldChar w:fldCharType="begin"/>
      </w:r>
      <w:r>
        <w:rPr>
          <w:rFonts w:hint="eastAsia"/>
          <w:sz w:val="28"/>
          <w:szCs w:val="28"/>
        </w:rPr>
        <w:instrText xml:space="preserve"> PAGEREF _Toc4521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_Toc31551 </w:instrText>
      </w:r>
      <w:r>
        <w:rPr>
          <w:rFonts w:hint="eastAsia" w:ascii="仿宋" w:hAnsi="仿宋" w:eastAsia="仿宋" w:cs="Times New Roman"/>
          <w:sz w:val="28"/>
          <w:szCs w:val="28"/>
        </w:rPr>
        <w:fldChar w:fldCharType="separate"/>
      </w:r>
      <w:r>
        <w:rPr>
          <w:rFonts w:hint="eastAsia" w:ascii="仿宋" w:hAnsi="仿宋" w:eastAsia="仿宋"/>
          <w:sz w:val="28"/>
          <w:szCs w:val="28"/>
        </w:rPr>
        <w:t>二、 收入决算情况说明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_Toc31551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_Toc23203 </w:instrText>
      </w:r>
      <w:r>
        <w:rPr>
          <w:rFonts w:hint="eastAsia" w:ascii="仿宋" w:hAnsi="仿宋" w:eastAsia="仿宋" w:cs="Times New Roman"/>
          <w:sz w:val="28"/>
          <w:szCs w:val="28"/>
        </w:rPr>
        <w:fldChar w:fldCharType="separate"/>
      </w:r>
      <w:r>
        <w:rPr>
          <w:rFonts w:hint="eastAsia" w:ascii="仿宋" w:hAnsi="仿宋" w:eastAsia="仿宋"/>
          <w:sz w:val="28"/>
          <w:szCs w:val="28"/>
        </w:rPr>
        <w:t>三、 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_Toc23203 \h </w:instrText>
      </w:r>
      <w:r>
        <w:rPr>
          <w:rFonts w:hint="eastAsia"/>
          <w:sz w:val="28"/>
          <w:szCs w:val="28"/>
        </w:rPr>
        <w:fldChar w:fldCharType="separate"/>
      </w:r>
      <w:r>
        <w:rPr>
          <w:rFonts w:hint="eastAsia"/>
          <w:sz w:val="28"/>
          <w:szCs w:val="28"/>
        </w:rPr>
        <w:t>4</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_Toc5559 </w:instrText>
      </w:r>
      <w:r>
        <w:rPr>
          <w:rFonts w:hint="eastAsia" w:ascii="仿宋" w:hAnsi="仿宋" w:eastAsia="仿宋" w:cs="Times New Roman"/>
          <w:sz w:val="28"/>
          <w:szCs w:val="28"/>
        </w:rPr>
        <w:fldChar w:fldCharType="separate"/>
      </w:r>
      <w:r>
        <w:rPr>
          <w:rFonts w:hint="eastAsia" w:ascii="仿宋" w:hAnsi="仿宋" w:eastAsia="仿宋"/>
          <w:sz w:val="28"/>
          <w:szCs w:val="28"/>
        </w:rPr>
        <w:t>四、财政拨款收入支出决算总体情况说明</w:t>
      </w:r>
      <w:r>
        <w:rPr>
          <w:rFonts w:hint="eastAsia"/>
          <w:sz w:val="28"/>
          <w:szCs w:val="28"/>
        </w:rPr>
        <w:tab/>
      </w:r>
      <w:r>
        <w:rPr>
          <w:rFonts w:hint="eastAsia"/>
          <w:sz w:val="28"/>
          <w:szCs w:val="28"/>
        </w:rPr>
        <w:fldChar w:fldCharType="begin"/>
      </w:r>
      <w:r>
        <w:rPr>
          <w:rFonts w:hint="eastAsia"/>
          <w:sz w:val="28"/>
          <w:szCs w:val="28"/>
        </w:rPr>
        <w:instrText xml:space="preserve"> PAGEREF _Toc5559 \h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_Toc30828 </w:instrText>
      </w:r>
      <w:r>
        <w:rPr>
          <w:rFonts w:hint="eastAsia" w:ascii="仿宋" w:hAnsi="仿宋" w:eastAsia="仿宋" w:cs="Times New Roman"/>
          <w:sz w:val="28"/>
          <w:szCs w:val="28"/>
        </w:rPr>
        <w:fldChar w:fldCharType="separate"/>
      </w:r>
      <w:r>
        <w:rPr>
          <w:rFonts w:hint="eastAsia" w:ascii="仿宋" w:hAnsi="仿宋" w:eastAsia="仿宋"/>
          <w:sz w:val="28"/>
          <w:szCs w:val="28"/>
        </w:rPr>
        <w:t>五、一般公共预算财政拨款支出决算情况说明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_Toc30828 \h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_Toc1260 </w:instrText>
      </w:r>
      <w:r>
        <w:rPr>
          <w:rFonts w:hint="eastAsia" w:ascii="仿宋" w:hAnsi="仿宋" w:eastAsia="仿宋" w:cs="Times New Roman"/>
          <w:sz w:val="28"/>
          <w:szCs w:val="28"/>
        </w:rPr>
        <w:fldChar w:fldCharType="separate"/>
      </w:r>
      <w:r>
        <w:rPr>
          <w:rFonts w:hint="eastAsia" w:ascii="仿宋" w:eastAsia="仿宋"/>
          <w:sz w:val="28"/>
          <w:szCs w:val="28"/>
        </w:rPr>
        <w:t>六、</w:t>
      </w:r>
      <w:r>
        <w:rPr>
          <w:rFonts w:hint="eastAsia" w:ascii="仿宋" w:hAnsi="仿宋" w:eastAsia="仿宋"/>
          <w:sz w:val="28"/>
          <w:szCs w:val="28"/>
        </w:rPr>
        <w:t>一般公共预算财政拨款基本支出决算情况说明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_Toc1260 \h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_Toc15423 </w:instrText>
      </w:r>
      <w:r>
        <w:rPr>
          <w:rFonts w:hint="eastAsia" w:ascii="仿宋" w:hAnsi="仿宋" w:eastAsia="仿宋" w:cs="Times New Roman"/>
          <w:sz w:val="28"/>
          <w:szCs w:val="28"/>
        </w:rPr>
        <w:fldChar w:fldCharType="separate"/>
      </w:r>
      <w:r>
        <w:rPr>
          <w:rFonts w:hint="eastAsia" w:ascii="仿宋" w:eastAsia="仿宋"/>
          <w:sz w:val="28"/>
          <w:szCs w:val="28"/>
        </w:rPr>
        <w:t>七、</w:t>
      </w:r>
      <w:r>
        <w:rPr>
          <w:rFonts w:hint="eastAsia" w:ascii="仿宋" w:hAnsi="仿宋" w:eastAsia="仿宋"/>
          <w:sz w:val="28"/>
          <w:szCs w:val="28"/>
        </w:rPr>
        <w:t>“三公”经费财政拨款支出决算情况说明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_Toc15423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_Toc14606 </w:instrText>
      </w:r>
      <w:r>
        <w:rPr>
          <w:rFonts w:hint="eastAsia" w:ascii="仿宋" w:hAnsi="仿宋" w:eastAsia="仿宋" w:cs="Times New Roman"/>
          <w:sz w:val="28"/>
          <w:szCs w:val="28"/>
        </w:rPr>
        <w:fldChar w:fldCharType="separate"/>
      </w:r>
      <w:r>
        <w:rPr>
          <w:rFonts w:hint="eastAsia" w:ascii="仿宋" w:eastAsia="仿宋"/>
          <w:sz w:val="28"/>
          <w:szCs w:val="28"/>
        </w:rPr>
        <w:t>八、</w:t>
      </w:r>
      <w:r>
        <w:rPr>
          <w:rFonts w:hint="eastAsia" w:ascii="仿宋" w:hAnsi="仿宋" w:eastAsia="仿宋"/>
          <w:sz w:val="28"/>
          <w:szCs w:val="28"/>
        </w:rPr>
        <w:t>政府性基金预算支出决算情况说明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_Toc14606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_Toc24870 </w:instrText>
      </w:r>
      <w:r>
        <w:rPr>
          <w:rFonts w:hint="eastAsia" w:ascii="仿宋" w:hAnsi="仿宋" w:eastAsia="仿宋" w:cs="Times New Roman"/>
          <w:sz w:val="28"/>
          <w:szCs w:val="28"/>
        </w:rPr>
        <w:fldChar w:fldCharType="separate"/>
      </w:r>
      <w:r>
        <w:rPr>
          <w:rFonts w:hint="eastAsia" w:ascii="仿宋" w:hAnsi="仿宋" w:eastAsia="仿宋"/>
          <w:sz w:val="28"/>
          <w:szCs w:val="28"/>
        </w:rPr>
        <w:t>九、 国有资本经营预算支出决算情况说明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_Toc24870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_Toc3700 </w:instrText>
      </w:r>
      <w:r>
        <w:rPr>
          <w:rFonts w:hint="eastAsia" w:ascii="仿宋" w:hAnsi="仿宋" w:eastAsia="仿宋" w:cs="Times New Roman"/>
          <w:sz w:val="28"/>
          <w:szCs w:val="28"/>
        </w:rPr>
        <w:fldChar w:fldCharType="separate"/>
      </w:r>
      <w:r>
        <w:rPr>
          <w:rFonts w:hint="eastAsia" w:ascii="仿宋" w:hAnsi="仿宋" w:eastAsia="仿宋"/>
          <w:sz w:val="28"/>
          <w:szCs w:val="28"/>
        </w:rPr>
        <w:t>十、 其他重要事项的情况说明</w:t>
      </w:r>
      <w:r>
        <w:rPr>
          <w:rFonts w:hint="eastAsia"/>
          <w:sz w:val="28"/>
          <w:szCs w:val="28"/>
        </w:rPr>
        <w:tab/>
      </w:r>
      <w:r>
        <w:rPr>
          <w:rFonts w:hint="eastAsia"/>
          <w:sz w:val="28"/>
          <w:szCs w:val="28"/>
        </w:rPr>
        <w:fldChar w:fldCharType="begin"/>
      </w:r>
      <w:r>
        <w:rPr>
          <w:rFonts w:hint="eastAsia"/>
          <w:sz w:val="28"/>
          <w:szCs w:val="28"/>
        </w:rPr>
        <w:instrText xml:space="preserve"> PAGEREF _Toc3700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_Toc12243 </w:instrText>
      </w:r>
      <w:r>
        <w:rPr>
          <w:rFonts w:ascii="黑体" w:hAnsi="黑体" w:eastAsia="黑体" w:cstheme="minorBidi"/>
          <w:szCs w:val="28"/>
        </w:rP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_Toc12243 \h </w:instrText>
      </w:r>
      <w:r>
        <w:fldChar w:fldCharType="separate"/>
      </w:r>
      <w:r>
        <w:t>1</w:t>
      </w:r>
      <w:r>
        <w:rPr>
          <w:rFonts w:hint="eastAsia"/>
          <w:lang w:val="en-US" w:eastAsia="zh-CN"/>
        </w:rPr>
        <w:t>5</w:t>
      </w:r>
      <w:r>
        <w:fldChar w:fldCharType="end"/>
      </w:r>
      <w:r>
        <w:rPr>
          <w:rFonts w:ascii="黑体" w:hAnsi="黑体" w:eastAsia="黑体" w:cstheme="minorBidi"/>
          <w:color w:val="auto"/>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_Toc26782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_Toc26782 \h </w:instrText>
      </w:r>
      <w:r>
        <w:fldChar w:fldCharType="separate"/>
      </w:r>
      <w:r>
        <w:t>1</w:t>
      </w:r>
      <w:r>
        <w:rPr>
          <w:rFonts w:hint="eastAsia"/>
          <w:lang w:val="en-US" w:eastAsia="zh-CN"/>
        </w:rPr>
        <w:t>7</w:t>
      </w:r>
      <w:r>
        <w:fldChar w:fldCharType="end"/>
      </w:r>
      <w:r>
        <w:rPr>
          <w:rFonts w:ascii="黑体" w:hAnsi="黑体" w:eastAsia="黑体" w:cstheme="minorBidi"/>
          <w:color w:val="auto"/>
          <w:szCs w:val="28"/>
        </w:rPr>
        <w:fldChar w:fldCharType="end"/>
      </w:r>
    </w:p>
    <w:p>
      <w:pPr>
        <w:pStyle w:val="10"/>
        <w:adjustRightInd w:val="0"/>
        <w:snapToGrid w:val="0"/>
        <w:spacing w:before="0" w:line="440" w:lineRule="exact"/>
        <w:jc w:val="left"/>
        <w:rPr>
          <w:rFonts w:hint="eastAsia" w:eastAsia="黑体"/>
          <w:lang w:val="en-US" w:eastAsia="zh-CN"/>
        </w:rPr>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_Toc22985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五部分 附表</w:t>
      </w:r>
      <w:r>
        <w:tab/>
      </w:r>
      <w:r>
        <w:rPr>
          <w:rFonts w:hint="eastAsia"/>
          <w:lang w:val="en-US" w:eastAsia="zh-CN"/>
        </w:rPr>
        <w:t>4</w:t>
      </w:r>
      <w:r>
        <w:rPr>
          <w:rFonts w:ascii="黑体" w:hAnsi="黑体" w:eastAsia="黑体" w:cstheme="minorBidi"/>
          <w:color w:val="auto"/>
          <w:szCs w:val="28"/>
        </w:rPr>
        <w:fldChar w:fldCharType="end"/>
      </w:r>
      <w:r>
        <w:rPr>
          <w:rFonts w:hint="eastAsia" w:ascii="黑体" w:hAnsi="黑体" w:eastAsia="黑体" w:cstheme="minorBidi"/>
          <w:color w:val="auto"/>
          <w:szCs w:val="28"/>
          <w:lang w:val="en-US" w:eastAsia="zh-CN"/>
        </w:rPr>
        <w:t>5</w:t>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_Toc10832 </w:instrText>
      </w:r>
      <w:r>
        <w:rPr>
          <w:rFonts w:ascii="黑体" w:hAnsi="黑体" w:eastAsia="黑体" w:cstheme="minorBidi"/>
          <w:sz w:val="28"/>
          <w:szCs w:val="28"/>
        </w:rPr>
        <w:fldChar w:fldCharType="separate"/>
      </w:r>
      <w:r>
        <w:rPr>
          <w:rFonts w:hint="eastAsia" w:ascii="仿宋" w:hAnsi="仿宋" w:eastAsia="仿宋"/>
          <w:sz w:val="28"/>
          <w:szCs w:val="28"/>
        </w:rPr>
        <w:t>一、收</w:t>
      </w:r>
      <w:r>
        <w:rPr>
          <w:rFonts w:hint="eastAsia" w:ascii="仿宋" w:hAnsi="仿宋" w:eastAsia="仿宋"/>
          <w:bCs w:val="0"/>
          <w:sz w:val="28"/>
          <w:szCs w:val="28"/>
        </w:rPr>
        <w:t>入支出决算总表</w:t>
      </w:r>
      <w:r>
        <w:rPr>
          <w:sz w:val="28"/>
          <w:szCs w:val="28"/>
        </w:rPr>
        <w:tab/>
      </w:r>
      <w:r>
        <w:rPr>
          <w:sz w:val="28"/>
          <w:szCs w:val="28"/>
        </w:rPr>
        <w:fldChar w:fldCharType="begin"/>
      </w:r>
      <w:r>
        <w:rPr>
          <w:sz w:val="28"/>
          <w:szCs w:val="28"/>
        </w:rPr>
        <w:instrText xml:space="preserve"> PAGEREF _Toc10832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_Toc10392 </w:instrText>
      </w:r>
      <w:r>
        <w:rPr>
          <w:rFonts w:ascii="黑体" w:hAnsi="黑体" w:eastAsia="黑体" w:cstheme="minorBidi"/>
          <w:sz w:val="28"/>
          <w:szCs w:val="28"/>
        </w:rPr>
        <w:fldChar w:fldCharType="separate"/>
      </w:r>
      <w:r>
        <w:rPr>
          <w:rFonts w:hint="eastAsia" w:ascii="仿宋" w:hAnsi="仿宋" w:eastAsia="仿宋"/>
          <w:sz w:val="28"/>
          <w:szCs w:val="28"/>
        </w:rPr>
        <w:t>二、收</w:t>
      </w:r>
      <w:r>
        <w:rPr>
          <w:rFonts w:hint="eastAsia" w:ascii="仿宋" w:hAnsi="仿宋" w:eastAsia="仿宋"/>
          <w:bCs w:val="0"/>
          <w:sz w:val="28"/>
          <w:szCs w:val="28"/>
        </w:rPr>
        <w:t>入决算表</w:t>
      </w:r>
      <w:r>
        <w:rPr>
          <w:sz w:val="28"/>
          <w:szCs w:val="28"/>
        </w:rPr>
        <w:tab/>
      </w:r>
      <w:r>
        <w:rPr>
          <w:sz w:val="28"/>
          <w:szCs w:val="28"/>
        </w:rPr>
        <w:fldChar w:fldCharType="begin"/>
      </w:r>
      <w:r>
        <w:rPr>
          <w:sz w:val="28"/>
          <w:szCs w:val="28"/>
        </w:rPr>
        <w:instrText xml:space="preserve"> PAGEREF _Toc10392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_Toc2647 </w:instrText>
      </w:r>
      <w:r>
        <w:rPr>
          <w:rFonts w:ascii="黑体" w:hAnsi="黑体" w:eastAsia="黑体" w:cstheme="minorBidi"/>
          <w:sz w:val="28"/>
          <w:szCs w:val="28"/>
        </w:rPr>
        <w:fldChar w:fldCharType="separate"/>
      </w:r>
      <w:r>
        <w:rPr>
          <w:rFonts w:hint="eastAsia" w:ascii="仿宋" w:hAnsi="仿宋" w:eastAsia="仿宋"/>
          <w:bCs w:val="0"/>
          <w:sz w:val="28"/>
          <w:szCs w:val="28"/>
        </w:rPr>
        <w:t>三、</w:t>
      </w:r>
      <w:r>
        <w:rPr>
          <w:rFonts w:hint="eastAsia" w:ascii="仿宋" w:hAnsi="仿宋" w:eastAsia="仿宋"/>
          <w:sz w:val="28"/>
          <w:szCs w:val="28"/>
        </w:rPr>
        <w:t>支</w:t>
      </w:r>
      <w:r>
        <w:rPr>
          <w:rFonts w:hint="eastAsia" w:ascii="仿宋" w:hAnsi="仿宋" w:eastAsia="仿宋"/>
          <w:bCs w:val="0"/>
          <w:sz w:val="28"/>
          <w:szCs w:val="28"/>
        </w:rPr>
        <w:t>出决算表</w:t>
      </w:r>
      <w:r>
        <w:rPr>
          <w:sz w:val="28"/>
          <w:szCs w:val="28"/>
        </w:rPr>
        <w:tab/>
      </w:r>
      <w:r>
        <w:rPr>
          <w:sz w:val="28"/>
          <w:szCs w:val="28"/>
        </w:rPr>
        <w:fldChar w:fldCharType="begin"/>
      </w:r>
      <w:r>
        <w:rPr>
          <w:sz w:val="28"/>
          <w:szCs w:val="28"/>
        </w:rPr>
        <w:instrText xml:space="preserve"> PAGEREF _Toc2647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_Toc2756 </w:instrText>
      </w:r>
      <w:r>
        <w:rPr>
          <w:rFonts w:ascii="黑体" w:hAnsi="黑体" w:eastAsia="黑体" w:cstheme="minorBidi"/>
          <w:sz w:val="28"/>
          <w:szCs w:val="28"/>
        </w:rPr>
        <w:fldChar w:fldCharType="separate"/>
      </w:r>
      <w:r>
        <w:rPr>
          <w:rFonts w:hint="eastAsia" w:ascii="仿宋" w:hAnsi="仿宋" w:eastAsia="仿宋"/>
          <w:bCs w:val="0"/>
          <w:sz w:val="28"/>
          <w:szCs w:val="28"/>
        </w:rPr>
        <w:t>四、</w:t>
      </w:r>
      <w:r>
        <w:rPr>
          <w:rFonts w:hint="eastAsia" w:ascii="仿宋" w:hAnsi="仿宋" w:eastAsia="仿宋"/>
          <w:sz w:val="28"/>
          <w:szCs w:val="28"/>
        </w:rPr>
        <w:t>财</w:t>
      </w:r>
      <w:r>
        <w:rPr>
          <w:rFonts w:hint="eastAsia" w:ascii="仿宋" w:hAnsi="仿宋" w:eastAsia="仿宋"/>
          <w:bCs w:val="0"/>
          <w:sz w:val="28"/>
          <w:szCs w:val="28"/>
        </w:rPr>
        <w:t>政拨款收入支出决算总表</w:t>
      </w:r>
      <w:r>
        <w:rPr>
          <w:sz w:val="28"/>
          <w:szCs w:val="28"/>
        </w:rPr>
        <w:tab/>
      </w:r>
      <w:r>
        <w:rPr>
          <w:sz w:val="28"/>
          <w:szCs w:val="28"/>
        </w:rPr>
        <w:fldChar w:fldCharType="begin"/>
      </w:r>
      <w:r>
        <w:rPr>
          <w:sz w:val="28"/>
          <w:szCs w:val="28"/>
        </w:rPr>
        <w:instrText xml:space="preserve"> PAGEREF _Toc2756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_Toc9780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五</w:t>
      </w:r>
      <w:r>
        <w:rPr>
          <w:rFonts w:hint="eastAsia" w:ascii="仿宋" w:hAnsi="仿宋" w:eastAsia="仿宋"/>
          <w:bCs w:val="0"/>
          <w:sz w:val="28"/>
          <w:szCs w:val="28"/>
        </w:rPr>
        <w:t>、</w:t>
      </w:r>
      <w:r>
        <w:rPr>
          <w:rStyle w:val="26"/>
          <w:rFonts w:hint="eastAsia" w:ascii="仿宋" w:hAnsi="仿宋" w:eastAsia="仿宋"/>
          <w:b w:val="0"/>
          <w:bCs w:val="0"/>
          <w:lang w:eastAsia="zh-CN"/>
        </w:rPr>
        <w:t>财政拨款支出决算明细表</w:t>
      </w:r>
      <w:r>
        <w:rPr>
          <w:sz w:val="28"/>
          <w:szCs w:val="28"/>
        </w:rPr>
        <w:tab/>
      </w:r>
      <w:r>
        <w:rPr>
          <w:sz w:val="28"/>
          <w:szCs w:val="28"/>
        </w:rPr>
        <w:fldChar w:fldCharType="begin"/>
      </w:r>
      <w:r>
        <w:rPr>
          <w:sz w:val="28"/>
          <w:szCs w:val="28"/>
        </w:rPr>
        <w:instrText xml:space="preserve"> PAGEREF _Toc9780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_Toc5288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六</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一般公共预算财政拨款支出决算表</w:t>
      </w:r>
      <w:r>
        <w:rPr>
          <w:sz w:val="28"/>
          <w:szCs w:val="28"/>
        </w:rPr>
        <w:tab/>
      </w:r>
      <w:r>
        <w:rPr>
          <w:sz w:val="28"/>
          <w:szCs w:val="28"/>
        </w:rPr>
        <w:fldChar w:fldCharType="begin"/>
      </w:r>
      <w:r>
        <w:rPr>
          <w:sz w:val="28"/>
          <w:szCs w:val="28"/>
        </w:rPr>
        <w:instrText xml:space="preserve"> PAGEREF _Toc5288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七</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一般公共预算财政拨款支出决算明细表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_Toc23914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八</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一般公共预算财政拨款基本支出决算表</w:t>
      </w:r>
      <w:r>
        <w:rPr>
          <w:sz w:val="28"/>
          <w:szCs w:val="28"/>
        </w:rPr>
        <w:tab/>
      </w:r>
      <w:r>
        <w:rPr>
          <w:sz w:val="28"/>
          <w:szCs w:val="28"/>
        </w:rPr>
        <w:fldChar w:fldCharType="begin"/>
      </w:r>
      <w:r>
        <w:rPr>
          <w:sz w:val="28"/>
          <w:szCs w:val="28"/>
        </w:rPr>
        <w:instrText xml:space="preserve"> PAGEREF _Toc23914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九</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一般公共预算财政拨款项目支出决算表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十一</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left="1399" w:leftChars="266" w:hanging="840" w:hangingChars="3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十二</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十三</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十四</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rFonts w:ascii="黑体" w:hAnsi="黑体" w:eastAsia="黑体" w:cstheme="minorBidi"/>
          <w:color w:val="auto"/>
          <w:sz w:val="28"/>
          <w:szCs w:val="28"/>
        </w:rPr>
      </w:pPr>
    </w:p>
    <w:p/>
    <w:p>
      <w:pPr>
        <w:pStyle w:val="10"/>
        <w:widowControl/>
        <w:adjustRightInd w:val="0"/>
        <w:snapToGrid w:val="0"/>
        <w:spacing w:line="440" w:lineRule="exact"/>
        <w:jc w:val="left"/>
        <w:rPr>
          <w:rFonts w:ascii="黑体" w:hAnsi="黑体" w:eastAsia="黑体" w:cstheme="minorBidi"/>
          <w:color w:val="auto"/>
          <w:sz w:val="28"/>
          <w:szCs w:val="28"/>
        </w:rPr>
      </w:pPr>
      <w:r>
        <w:rPr>
          <w:rFonts w:ascii="黑体" w:hAnsi="黑体" w:eastAsia="黑体" w:cstheme="minorBidi"/>
          <w:color w:val="auto"/>
          <w:szCs w:val="28"/>
        </w:rPr>
        <w:fldChar w:fldCharType="end"/>
      </w:r>
    </w:p>
    <w:p>
      <w:pPr>
        <w:pStyle w:val="3"/>
        <w:ind w:firstLine="1760" w:firstLineChars="400"/>
        <w:jc w:val="both"/>
        <w:rPr>
          <w:rFonts w:hint="eastAsia" w:ascii="黑体" w:hAnsi="黑体" w:eastAsia="黑体"/>
          <w:b w:val="0"/>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0" w:name="_Toc15396599"/>
      <w:bookmarkStart w:id="21" w:name="_Toc15377196"/>
    </w:p>
    <w:p>
      <w:pPr>
        <w:pStyle w:val="3"/>
        <w:ind w:firstLine="2200" w:firstLineChars="500"/>
        <w:jc w:val="both"/>
        <w:rPr>
          <w:rFonts w:ascii="黑体" w:eastAsia="黑体"/>
          <w:color w:val="auto"/>
          <w:sz w:val="44"/>
          <w:szCs w:val="44"/>
        </w:rPr>
      </w:pPr>
      <w:bookmarkStart w:id="22" w:name="_Toc3054"/>
      <w:bookmarkStart w:id="23" w:name="_Toc1453"/>
      <w:bookmarkStart w:id="24" w:name="_Toc25359"/>
      <w:bookmarkStart w:id="25" w:name="_Toc3444"/>
      <w:r>
        <w:rPr>
          <w:rFonts w:hint="eastAsia" w:ascii="黑体" w:hAnsi="黑体" w:eastAsia="黑体"/>
          <w:b w:val="0"/>
          <w:color w:val="auto"/>
          <w:sz w:val="44"/>
          <w:szCs w:val="44"/>
        </w:rPr>
        <w:t xml:space="preserve">第一部分 </w:t>
      </w:r>
      <w:r>
        <w:rPr>
          <w:rFonts w:hint="eastAsia" w:ascii="黑体" w:hAnsi="黑体" w:eastAsia="黑体"/>
          <w:b w:val="0"/>
          <w:color w:val="auto"/>
          <w:sz w:val="44"/>
          <w:szCs w:val="44"/>
          <w:lang w:eastAsia="zh-CN"/>
        </w:rPr>
        <w:t>单位</w:t>
      </w:r>
      <w:r>
        <w:rPr>
          <w:rStyle w:val="25"/>
          <w:rFonts w:hint="eastAsia" w:ascii="黑体" w:hAnsi="黑体" w:eastAsia="黑体"/>
          <w:b w:val="0"/>
          <w:bCs w:val="0"/>
          <w:color w:val="auto"/>
          <w:sz w:val="44"/>
          <w:szCs w:val="44"/>
        </w:rPr>
        <w:t>概况</w:t>
      </w:r>
      <w:bookmarkEnd w:id="20"/>
      <w:bookmarkEnd w:id="21"/>
      <w:bookmarkEnd w:id="22"/>
      <w:bookmarkEnd w:id="23"/>
      <w:bookmarkEnd w:id="24"/>
      <w:bookmarkEnd w:id="25"/>
    </w:p>
    <w:p>
      <w:pPr>
        <w:pStyle w:val="4"/>
        <w:numPr>
          <w:ilvl w:val="0"/>
          <w:numId w:val="1"/>
        </w:numPr>
        <w:rPr>
          <w:rFonts w:hint="eastAsia"/>
          <w:color w:val="auto"/>
        </w:rPr>
      </w:pPr>
      <w:bookmarkStart w:id="26" w:name="_Toc14417"/>
      <w:bookmarkStart w:id="27" w:name="_Toc2449"/>
      <w:bookmarkStart w:id="28" w:name="_Toc15396600"/>
      <w:bookmarkStart w:id="29" w:name="_Toc15377197"/>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bookmarkEnd w:id="26"/>
      <w:bookmarkEnd w:id="27"/>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主要职能：本单位主要担负为国家建设提供地矿勘查服务,承担水文地质、工程地质勘查、水及地热井钻探、桩基、地下连续墙、软弱地基、特钟钻凿工程施工、开展技术咨询服务等。</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机构情况：本单位是一家独立编制、独立核算的事业单位，机构无变动情况。</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人员情况：本单位2020年度年末在职人员520人，较上年度减少19人，离休人员5人，较上年度减少0人,均为按政策正常增减差额形成。</w:t>
      </w:r>
    </w:p>
    <w:p>
      <w:pPr>
        <w:pStyle w:val="4"/>
        <w:numPr>
          <w:ilvl w:val="0"/>
          <w:numId w:val="1"/>
        </w:numPr>
        <w:rPr>
          <w:rFonts w:hint="eastAsia" w:ascii="黑体" w:hAnsi="黑体" w:eastAsia="黑体"/>
          <w:b w:val="0"/>
          <w:color w:val="auto"/>
          <w:highlight w:val="none"/>
        </w:rPr>
      </w:pPr>
      <w:bookmarkStart w:id="30" w:name="_Toc25420"/>
      <w:bookmarkStart w:id="31" w:name="_Toc21922"/>
      <w:r>
        <w:rPr>
          <w:rStyle w:val="26"/>
          <w:rFonts w:hint="eastAsia" w:ascii="黑体" w:hAnsi="黑体" w:eastAsia="黑体"/>
          <w:b w:val="0"/>
          <w:bCs w:val="0"/>
          <w:color w:val="auto"/>
          <w:highlight w:val="none"/>
          <w:lang w:val="en-US" w:eastAsia="zh-CN"/>
        </w:rPr>
        <w:t>2020年重点</w:t>
      </w:r>
      <w:r>
        <w:rPr>
          <w:rStyle w:val="26"/>
          <w:rFonts w:hint="eastAsia" w:ascii="黑体" w:hAnsi="黑体" w:eastAsia="黑体"/>
          <w:b w:val="0"/>
          <w:bCs w:val="0"/>
          <w:color w:val="auto"/>
          <w:highlight w:val="none"/>
        </w:rPr>
        <w:t>工作</w:t>
      </w:r>
      <w:r>
        <w:rPr>
          <w:rStyle w:val="26"/>
          <w:rFonts w:hint="eastAsia" w:ascii="黑体" w:hAnsi="黑体" w:eastAsia="黑体"/>
          <w:b w:val="0"/>
          <w:bCs w:val="0"/>
          <w:color w:val="auto"/>
          <w:highlight w:val="none"/>
          <w:lang w:eastAsia="zh-CN"/>
        </w:rPr>
        <w:t>完成情况</w:t>
      </w:r>
      <w:bookmarkEnd w:id="30"/>
      <w:bookmarkEnd w:id="31"/>
    </w:p>
    <w:p>
      <w:pPr>
        <w:pStyle w:val="4"/>
        <w:numPr>
          <w:ilvl w:val="0"/>
          <w:numId w:val="2"/>
        </w:numPr>
        <w:ind w:firstLine="640"/>
        <w:rPr>
          <w:rFonts w:hint="eastAsia" w:ascii="仿宋" w:hAnsi="仿宋" w:eastAsia="仿宋" w:cs="Times New Roman"/>
          <w:b w:val="0"/>
          <w:bCs w:val="0"/>
          <w:color w:val="auto"/>
          <w:kern w:val="2"/>
          <w:sz w:val="32"/>
          <w:szCs w:val="32"/>
          <w:lang w:val="en-US" w:eastAsia="zh-CN" w:bidi="ar-SA"/>
        </w:rPr>
      </w:pPr>
      <w:bookmarkStart w:id="32" w:name="_Toc17796"/>
      <w:bookmarkStart w:id="33" w:name="_Toc13860"/>
      <w:r>
        <w:rPr>
          <w:rFonts w:hint="eastAsia" w:ascii="仿宋" w:hAnsi="仿宋" w:eastAsia="仿宋" w:cs="Times New Roman"/>
          <w:b w:val="0"/>
          <w:bCs w:val="0"/>
          <w:color w:val="auto"/>
          <w:kern w:val="2"/>
          <w:sz w:val="32"/>
          <w:szCs w:val="32"/>
          <w:lang w:val="en-US" w:eastAsia="zh-CN" w:bidi="ar-SA"/>
        </w:rPr>
        <w:t>坚持全面加强党的领导，推动上级决策部署落地落实，</w:t>
      </w:r>
      <w:r>
        <w:rPr>
          <w:rFonts w:hint="eastAsia" w:ascii="仿宋" w:hAnsi="仿宋" w:eastAsia="仿宋" w:cs="Times New Roman"/>
          <w:b w:val="0"/>
          <w:bCs w:val="0"/>
          <w:color w:val="auto"/>
        </w:rPr>
        <w:t>打好新冠肺炎疫情防控阻击战</w:t>
      </w:r>
      <w:r>
        <w:rPr>
          <w:rFonts w:hint="eastAsia" w:ascii="仿宋" w:hAnsi="仿宋" w:eastAsia="仿宋" w:cs="Times New Roman"/>
          <w:b w:val="0"/>
          <w:bCs w:val="0"/>
          <w:color w:val="auto"/>
          <w:lang w:eastAsia="zh-CN"/>
        </w:rPr>
        <w:t>，</w:t>
      </w:r>
      <w:r>
        <w:rPr>
          <w:rFonts w:hint="eastAsia" w:ascii="仿宋" w:hAnsi="仿宋" w:eastAsia="仿宋" w:cs="Times New Roman"/>
          <w:b w:val="0"/>
          <w:bCs w:val="0"/>
          <w:color w:val="auto"/>
        </w:rPr>
        <w:t>众志成</w:t>
      </w:r>
      <w:r>
        <w:rPr>
          <w:rFonts w:hint="eastAsia" w:ascii="仿宋" w:hAnsi="仿宋" w:eastAsia="仿宋" w:cs="Times New Roman"/>
          <w:b w:val="0"/>
          <w:bCs w:val="0"/>
          <w:color w:val="auto"/>
          <w:lang w:eastAsia="zh-CN"/>
        </w:rPr>
        <w:t>诚，</w:t>
      </w:r>
      <w:r>
        <w:rPr>
          <w:rFonts w:hint="eastAsia" w:ascii="仿宋" w:hAnsi="仿宋" w:eastAsia="仿宋" w:cs="Times New Roman"/>
          <w:b w:val="0"/>
          <w:bCs w:val="0"/>
          <w:color w:val="auto"/>
        </w:rPr>
        <w:t>生产经营管理工作再上新台</w:t>
      </w:r>
      <w:r>
        <w:rPr>
          <w:rFonts w:hint="eastAsia" w:ascii="仿宋" w:hAnsi="仿宋" w:eastAsia="仿宋" w:cs="Times New Roman"/>
          <w:b w:val="0"/>
          <w:bCs w:val="0"/>
          <w:color w:val="auto"/>
          <w:lang w:eastAsia="zh-CN"/>
        </w:rPr>
        <w:t>阶，</w:t>
      </w:r>
      <w:r>
        <w:rPr>
          <w:rFonts w:hint="eastAsia" w:ascii="仿宋" w:hAnsi="仿宋" w:eastAsia="仿宋" w:cs="Times New Roman"/>
          <w:b w:val="0"/>
          <w:bCs w:val="0"/>
          <w:color w:val="auto"/>
          <w:kern w:val="2"/>
          <w:sz w:val="32"/>
          <w:szCs w:val="32"/>
          <w:lang w:val="en-US" w:eastAsia="zh-CN" w:bidi="ar-SA"/>
        </w:rPr>
        <w:t>确保国有资产增值保值。</w:t>
      </w:r>
      <w:bookmarkEnd w:id="32"/>
      <w:bookmarkEnd w:id="33"/>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4" w:name="_Toc2833"/>
      <w:bookmarkStart w:id="35" w:name="_Toc29868"/>
      <w:r>
        <w:rPr>
          <w:rFonts w:hint="eastAsia" w:ascii="仿宋" w:hAnsi="仿宋" w:eastAsia="仿宋" w:cs="Times New Roman"/>
          <w:b w:val="0"/>
          <w:bCs w:val="0"/>
          <w:color w:val="auto"/>
          <w:kern w:val="2"/>
          <w:sz w:val="32"/>
          <w:szCs w:val="32"/>
          <w:lang w:val="en-US" w:eastAsia="zh-CN" w:bidi="ar-SA"/>
        </w:rPr>
        <w:t>（2）紧跟国家政策导向，</w:t>
      </w:r>
      <w:r>
        <w:rPr>
          <w:rFonts w:hint="eastAsia" w:ascii="仿宋" w:hAnsi="仿宋" w:eastAsia="仿宋" w:cs="Times New Roman"/>
          <w:b w:val="0"/>
          <w:bCs w:val="0"/>
          <w:color w:val="auto"/>
        </w:rPr>
        <w:t>积极响应国家生态环境大保护战略，大力实施“地质+生态环境”战略</w:t>
      </w:r>
      <w:r>
        <w:rPr>
          <w:rFonts w:hint="eastAsia" w:ascii="仿宋" w:hAnsi="仿宋" w:eastAsia="仿宋" w:cs="Times New Roman"/>
          <w:b w:val="0"/>
          <w:bCs w:val="0"/>
          <w:color w:val="auto"/>
          <w:lang w:eastAsia="zh-CN"/>
        </w:rPr>
        <w:t>等，</w:t>
      </w:r>
      <w:r>
        <w:rPr>
          <w:rFonts w:hint="eastAsia" w:ascii="仿宋" w:hAnsi="仿宋" w:eastAsia="仿宋" w:cs="Times New Roman"/>
          <w:b w:val="0"/>
          <w:bCs w:val="0"/>
          <w:color w:val="auto"/>
          <w:kern w:val="2"/>
          <w:sz w:val="32"/>
          <w:szCs w:val="32"/>
          <w:lang w:val="en-US" w:eastAsia="zh-CN" w:bidi="ar-SA"/>
        </w:rPr>
        <w:t>准确做好公益性地质工作。</w:t>
      </w:r>
      <w:bookmarkEnd w:id="34"/>
      <w:bookmarkEnd w:id="35"/>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6" w:name="_Toc29887"/>
      <w:bookmarkStart w:id="37" w:name="_Toc20056"/>
      <w:r>
        <w:rPr>
          <w:rFonts w:hint="eastAsia" w:ascii="仿宋" w:hAnsi="仿宋" w:eastAsia="仿宋" w:cs="Times New Roman"/>
          <w:b w:val="0"/>
          <w:bCs w:val="0"/>
          <w:color w:val="auto"/>
          <w:kern w:val="2"/>
          <w:sz w:val="32"/>
          <w:szCs w:val="32"/>
          <w:lang w:val="en-US" w:eastAsia="zh-CN" w:bidi="ar-SA"/>
        </w:rPr>
        <w:t>（3）按照省委省政府和地矿局统一部署，</w:t>
      </w:r>
      <w:r>
        <w:rPr>
          <w:rFonts w:hint="eastAsia" w:ascii="仿宋" w:hAnsi="仿宋" w:eastAsia="仿宋" w:cs="Times New Roman"/>
          <w:b w:val="0"/>
          <w:bCs w:val="0"/>
          <w:color w:val="auto"/>
        </w:rPr>
        <w:t>以事业单位、国有企业改革为抓手，统筹推进体制机制建</w:t>
      </w:r>
      <w:r>
        <w:rPr>
          <w:rFonts w:hint="eastAsia" w:ascii="仿宋" w:hAnsi="仿宋" w:eastAsia="仿宋" w:cs="Times New Roman"/>
          <w:b w:val="0"/>
          <w:bCs w:val="0"/>
          <w:color w:val="auto"/>
          <w:lang w:eastAsia="zh-CN"/>
        </w:rPr>
        <w:t>设，</w:t>
      </w:r>
      <w:r>
        <w:rPr>
          <w:rFonts w:hint="eastAsia" w:ascii="仿宋" w:hAnsi="仿宋" w:eastAsia="仿宋" w:cs="Times New Roman"/>
          <w:b w:val="0"/>
          <w:bCs w:val="0"/>
          <w:color w:val="auto"/>
          <w:kern w:val="2"/>
          <w:sz w:val="32"/>
          <w:szCs w:val="32"/>
          <w:lang w:val="en-US" w:eastAsia="zh-CN" w:bidi="ar-SA"/>
        </w:rPr>
        <w:t>做好全队事业单位改革工作。</w:t>
      </w:r>
      <w:bookmarkEnd w:id="36"/>
      <w:bookmarkEnd w:id="37"/>
    </w:p>
    <w:p>
      <w:pPr>
        <w:ind w:firstLine="640" w:firstLineChars="200"/>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（4）紧抓人才建设，强化人才培养，增加单位核心竞争力</w:t>
      </w:r>
    </w:p>
    <w:p>
      <w:pPr>
        <w:pStyle w:val="4"/>
        <w:numPr>
          <w:ilvl w:val="-1"/>
          <w:numId w:val="0"/>
        </w:numPr>
        <w:spacing w:after="0"/>
        <w:ind w:firstLine="640" w:firstLineChars="200"/>
        <w:rPr>
          <w:rFonts w:hint="eastAsia" w:ascii="仿宋" w:hAnsi="仿宋" w:eastAsia="仿宋" w:cs="Times New Roman"/>
          <w:b w:val="0"/>
          <w:bCs w:val="0"/>
          <w:color w:val="auto"/>
          <w:lang w:eastAsia="zh-CN"/>
        </w:rPr>
      </w:pPr>
      <w:bookmarkStart w:id="38" w:name="_Toc8505"/>
      <w:bookmarkStart w:id="39" w:name="_Toc19424"/>
      <w:r>
        <w:rPr>
          <w:rFonts w:hint="eastAsia" w:ascii="仿宋" w:hAnsi="仿宋" w:eastAsia="仿宋" w:cs="Times New Roman"/>
          <w:b w:val="0"/>
          <w:bCs w:val="0"/>
          <w:color w:val="auto"/>
          <w:kern w:val="2"/>
          <w:sz w:val="32"/>
          <w:szCs w:val="32"/>
          <w:lang w:val="en-US" w:eastAsia="zh-CN" w:bidi="ar-SA"/>
        </w:rPr>
        <w:t>（5）大力推进创新驱动发展，实施地质+、数字地质战略，</w:t>
      </w:r>
      <w:r>
        <w:rPr>
          <w:rFonts w:hint="eastAsia" w:ascii="仿宋" w:hAnsi="仿宋" w:eastAsia="仿宋" w:cs="Times New Roman"/>
          <w:b w:val="0"/>
          <w:bCs w:val="0"/>
          <w:color w:val="auto"/>
        </w:rPr>
        <w:t>内外联动，切实提升我队科技实力</w:t>
      </w:r>
      <w:r>
        <w:rPr>
          <w:rFonts w:hint="eastAsia" w:ascii="仿宋" w:hAnsi="仿宋" w:eastAsia="仿宋" w:cs="Times New Roman"/>
          <w:b w:val="0"/>
          <w:bCs w:val="0"/>
          <w:color w:val="auto"/>
          <w:lang w:eastAsia="zh-CN"/>
        </w:rPr>
        <w:t>。</w:t>
      </w:r>
      <w:bookmarkEnd w:id="38"/>
      <w:bookmarkEnd w:id="39"/>
    </w:p>
    <w:p>
      <w:pPr>
        <w:pStyle w:val="3"/>
        <w:ind w:right="440"/>
        <w:jc w:val="center"/>
        <w:rPr>
          <w:rFonts w:hint="eastAsia" w:ascii="黑体" w:hAnsi="黑体" w:eastAsia="黑体"/>
          <w:b w:val="0"/>
          <w:bCs/>
          <w:color w:val="auto"/>
        </w:rPr>
      </w:pPr>
    </w:p>
    <w:p>
      <w:pPr>
        <w:pStyle w:val="2"/>
        <w:rPr>
          <w:rFonts w:hint="eastAsia"/>
        </w:rPr>
      </w:pPr>
    </w:p>
    <w:bookmarkEnd w:id="28"/>
    <w:bookmarkEnd w:id="29"/>
    <w:p>
      <w:pPr>
        <w:pStyle w:val="3"/>
        <w:ind w:right="440"/>
        <w:jc w:val="center"/>
        <w:rPr>
          <w:color w:val="auto"/>
        </w:rPr>
      </w:pPr>
      <w:bookmarkStart w:id="40" w:name="_Toc27098"/>
      <w:bookmarkStart w:id="41" w:name="_Toc16575"/>
      <w:bookmarkStart w:id="42" w:name="_Toc109"/>
      <w:bookmarkStart w:id="43" w:name="_Toc6734"/>
      <w:bookmarkStart w:id="44" w:name="_Toc15377204"/>
      <w:bookmarkStart w:id="45"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lang w:eastAsia="zh-CN"/>
        </w:rPr>
        <w:t>单位</w:t>
      </w:r>
      <w:r>
        <w:rPr>
          <w:rStyle w:val="25"/>
          <w:rFonts w:hint="eastAsia" w:ascii="黑体" w:hAnsi="黑体" w:eastAsia="黑体"/>
          <w:b w:val="0"/>
          <w:bCs/>
          <w:color w:val="auto"/>
        </w:rPr>
        <w:t>决算情况说明</w:t>
      </w:r>
      <w:bookmarkEnd w:id="40"/>
      <w:bookmarkEnd w:id="41"/>
      <w:bookmarkEnd w:id="42"/>
      <w:bookmarkEnd w:id="43"/>
      <w:bookmarkEnd w:id="44"/>
      <w:bookmarkEnd w:id="45"/>
    </w:p>
    <w:p>
      <w:pPr>
        <w:pStyle w:val="24"/>
        <w:numPr>
          <w:ilvl w:val="0"/>
          <w:numId w:val="3"/>
        </w:numPr>
        <w:spacing w:line="600" w:lineRule="exact"/>
        <w:ind w:firstLineChars="0"/>
        <w:outlineLvl w:val="1"/>
        <w:rPr>
          <w:rStyle w:val="26"/>
          <w:rFonts w:ascii="黑体" w:hAnsi="黑体" w:eastAsia="黑体"/>
          <w:b w:val="0"/>
          <w:color w:val="auto"/>
        </w:rPr>
      </w:pPr>
      <w:bookmarkStart w:id="46" w:name="_Toc15396603"/>
      <w:bookmarkStart w:id="47" w:name="_Toc15377205"/>
      <w:bookmarkStart w:id="48" w:name="_Toc4521"/>
      <w:bookmarkStart w:id="49" w:name="_Toc26967"/>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46"/>
      <w:bookmarkEnd w:id="47"/>
      <w:bookmarkEnd w:id="48"/>
      <w:bookmarkEnd w:id="49"/>
    </w:p>
    <w:p>
      <w:pPr>
        <w:ind w:firstLine="640" w:firstLineChars="200"/>
        <w:rPr>
          <w:rFonts w:hint="eastAsia" w:ascii="仿宋" w:hAnsi="仿宋" w:eastAsia="仿宋_GB2312"/>
          <w:color w:val="auto"/>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7506.15万元</w:t>
      </w:r>
      <w:r>
        <w:rPr>
          <w:rFonts w:hint="eastAsia" w:ascii="仿宋" w:hAnsi="仿宋" w:eastAsia="仿宋"/>
          <w:color w:val="auto"/>
          <w:sz w:val="32"/>
          <w:szCs w:val="32"/>
        </w:rPr>
        <w:t>相比，收、支总计各增加</w:t>
      </w:r>
      <w:r>
        <w:rPr>
          <w:rFonts w:hint="eastAsia" w:ascii="仿宋" w:hAnsi="仿宋" w:eastAsia="仿宋"/>
          <w:color w:val="auto"/>
          <w:sz w:val="32"/>
          <w:szCs w:val="32"/>
          <w:lang w:val="en-US" w:eastAsia="zh-CN"/>
        </w:rPr>
        <w:t>3620.96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48.24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_GB2312" w:hAnsi="仿宋_GB2312" w:eastAsia="仿宋_GB2312" w:cs="仿宋_GB2312"/>
          <w:color w:val="000000"/>
          <w:sz w:val="32"/>
          <w:szCs w:val="32"/>
          <w:lang w:eastAsia="zh-CN"/>
        </w:rPr>
        <w:t>是增加四川省</w:t>
      </w:r>
      <w:r>
        <w:rPr>
          <w:rFonts w:hint="eastAsia" w:ascii="仿宋_GB2312" w:hAnsi="仿宋_GB2312" w:eastAsia="仿宋_GB2312" w:cs="仿宋_GB2312"/>
          <w:color w:val="000000"/>
          <w:sz w:val="32"/>
          <w:szCs w:val="32"/>
        </w:rPr>
        <w:t>重点行业企业用地土壤调查</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拨款</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p>
    <w:p>
      <w:pPr>
        <w:spacing w:line="600" w:lineRule="exact"/>
        <w:ind w:firstLine="640" w:firstLineChars="200"/>
      </w:pPr>
      <w:r>
        <w:rPr>
          <w:rFonts w:hint="eastAsia" w:ascii="仿宋" w:hAnsi="仿宋" w:eastAsia="仿宋"/>
          <w:color w:val="auto"/>
          <w:sz w:val="32"/>
          <w:szCs w:val="32"/>
        </w:rPr>
        <w:t>收、支决算总计变动情况</w:t>
      </w:r>
      <w:r>
        <w:rPr>
          <w:rFonts w:hint="eastAsia" w:ascii="仿宋" w:hAnsi="仿宋" w:eastAsia="仿宋"/>
          <w:color w:val="auto"/>
          <w:sz w:val="32"/>
          <w:szCs w:val="32"/>
          <w:lang w:eastAsia="zh-CN"/>
        </w:rPr>
        <w:t>如下</w:t>
      </w:r>
      <w:r>
        <w:rPr>
          <w:rFonts w:hint="eastAsia" w:ascii="仿宋" w:hAnsi="仿宋" w:eastAsia="仿宋"/>
          <w:color w:val="auto"/>
          <w:sz w:val="32"/>
          <w:szCs w:val="32"/>
        </w:rPr>
        <w:t>图</w:t>
      </w:r>
      <w:r>
        <w:rPr>
          <w:rFonts w:hint="eastAsia" w:ascii="仿宋" w:hAnsi="仿宋" w:eastAsia="仿宋"/>
          <w:color w:val="auto"/>
          <w:sz w:val="32"/>
          <w:szCs w:val="32"/>
          <w:lang w:eastAsia="zh-CN"/>
        </w:rPr>
        <w:t>：</w:t>
      </w:r>
    </w:p>
    <w:p>
      <w:pPr>
        <w:pStyle w:val="2"/>
      </w:pPr>
      <w:r>
        <w:rPr>
          <w:sz w:val="30"/>
        </w:rPr>
        <mc:AlternateContent>
          <mc:Choice Requires="wps">
            <w:drawing>
              <wp:anchor distT="0" distB="0" distL="114300" distR="114300" simplePos="0" relativeHeight="251661312" behindDoc="0" locked="0" layoutInCell="1" allowOverlap="1">
                <wp:simplePos x="0" y="0"/>
                <wp:positionH relativeFrom="column">
                  <wp:posOffset>4375785</wp:posOffset>
                </wp:positionH>
                <wp:positionV relativeFrom="paragraph">
                  <wp:posOffset>403225</wp:posOffset>
                </wp:positionV>
                <wp:extent cx="856615" cy="304800"/>
                <wp:effectExtent l="0" t="0" r="635" b="0"/>
                <wp:wrapNone/>
                <wp:docPr id="8" name="文本框 8"/>
                <wp:cNvGraphicFramePr/>
                <a:graphic xmlns:a="http://schemas.openxmlformats.org/drawingml/2006/main">
                  <a:graphicData uri="http://schemas.microsoft.com/office/word/2010/wordprocessingShape">
                    <wps:wsp>
                      <wps:cNvSpPr txBox="1"/>
                      <wps:spPr>
                        <a:xfrm>
                          <a:off x="5518785" y="1317625"/>
                          <a:ext cx="856615" cy="304800"/>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val="en-US" w:eastAsia="zh-CN"/>
                              </w:rPr>
                            </w:pPr>
                            <w:r>
                              <w:rPr>
                                <w:rFonts w:hint="eastAsia"/>
                                <w:sz w:val="18"/>
                                <w:szCs w:val="18"/>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55pt;margin-top:31.75pt;height:24pt;width:67.45pt;z-index:251661312;mso-width-relative:page;mso-height-relative:page;" fillcolor="#F2F2F2 [3052]" filled="t" stroked="f" coordsize="21600,21600" o:gfxdata="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H9ArZ1QAAAAoBAAAPAAAAAAAAAAEAIAAAACIAAABkcnMvZG93bnJldi54bWxQ&#10;SwECFAAUAAAACACHTuJAx5q9j2wCAAC8BAAADgAAAAAAAAABACAAAAAkAQAAZHJzL2Uyb0RvYy54&#10;bWxQSwUGAAAAAAYABgBZAQAAAgYAAAAA&#10;">
                <v:fill on="t" focussize="0,0"/>
                <v:stroke on="f" weight="0.5pt"/>
                <v:imagedata o:title=""/>
                <o:lock v:ext="edit" aspectratio="f"/>
                <v:textbox>
                  <w:txbxContent>
                    <w:p>
                      <w:pPr>
                        <w:rPr>
                          <w:rFonts w:hint="eastAsia" w:eastAsia="宋体"/>
                          <w:sz w:val="18"/>
                          <w:szCs w:val="18"/>
                          <w:lang w:val="en-US" w:eastAsia="zh-CN"/>
                        </w:rPr>
                      </w:pPr>
                      <w:r>
                        <w:rPr>
                          <w:rFonts w:hint="eastAsia"/>
                          <w:sz w:val="18"/>
                          <w:szCs w:val="18"/>
                          <w:lang w:val="en-US" w:eastAsia="zh-CN"/>
                        </w:rPr>
                        <w:t>单位：万元</w:t>
                      </w:r>
                    </w:p>
                  </w:txbxContent>
                </v:textbox>
              </v:shape>
            </w:pict>
          </mc:Fallback>
        </mc:AlternateContent>
      </w:r>
      <w:r>
        <w:drawing>
          <wp:inline distT="0" distB="0" distL="114300" distR="114300">
            <wp:extent cx="5285105" cy="2781300"/>
            <wp:effectExtent l="4445" t="4445" r="6350" b="1460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numPr>
          <w:ilvl w:val="0"/>
          <w:numId w:val="3"/>
        </w:numPr>
        <w:spacing w:line="600" w:lineRule="exact"/>
        <w:ind w:firstLineChars="0"/>
        <w:outlineLvl w:val="1"/>
        <w:rPr>
          <w:rStyle w:val="26"/>
          <w:rFonts w:ascii="黑体" w:hAnsi="黑体" w:eastAsia="黑体"/>
          <w:b w:val="0"/>
          <w:color w:val="auto"/>
        </w:rPr>
      </w:pPr>
      <w:bookmarkStart w:id="50" w:name="_Toc15377206"/>
      <w:bookmarkStart w:id="51" w:name="_Toc18226"/>
      <w:bookmarkStart w:id="52" w:name="_Toc15396604"/>
      <w:bookmarkStart w:id="53" w:name="_Toc31551"/>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50"/>
      <w:bookmarkEnd w:id="51"/>
      <w:bookmarkEnd w:id="52"/>
      <w:bookmarkEnd w:id="53"/>
    </w:p>
    <w:p>
      <w:pPr>
        <w:spacing w:line="600" w:lineRule="exact"/>
        <w:ind w:firstLine="640" w:firstLineChars="200"/>
        <w:outlineLvl w:val="1"/>
        <w:rPr>
          <w:rFonts w:ascii="仿宋" w:hAnsi="仿宋" w:eastAsia="仿宋"/>
          <w:color w:val="auto"/>
          <w:sz w:val="32"/>
          <w:szCs w:val="32"/>
        </w:rPr>
      </w:pPr>
      <w:bookmarkStart w:id="54" w:name="_Toc8029"/>
      <w:bookmarkStart w:id="55" w:name="_Toc10445"/>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10371.90</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97.32</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116.10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1.12</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160.83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1.56</w:t>
      </w:r>
      <w:r>
        <w:rPr>
          <w:rFonts w:ascii="仿宋" w:hAnsi="仿宋" w:eastAsia="仿宋"/>
          <w:color w:val="auto"/>
          <w:sz w:val="32"/>
          <w:szCs w:val="32"/>
        </w:rPr>
        <w:t>%</w:t>
      </w:r>
      <w:r>
        <w:rPr>
          <w:rFonts w:hint="eastAsia" w:ascii="仿宋" w:hAnsi="仿宋" w:eastAsia="仿宋"/>
          <w:color w:val="auto"/>
          <w:sz w:val="32"/>
          <w:szCs w:val="32"/>
          <w:lang w:eastAsia="zh-CN"/>
        </w:rPr>
        <w:t>。</w:t>
      </w:r>
      <w:bookmarkEnd w:id="54"/>
      <w:bookmarkEnd w:id="55"/>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收入决算结构图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8275" cy="2818765"/>
            <wp:effectExtent l="4445" t="4445" r="5080" b="15240"/>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4"/>
        <w:numPr>
          <w:ilvl w:val="0"/>
          <w:numId w:val="3"/>
        </w:numPr>
        <w:spacing w:line="600" w:lineRule="exact"/>
        <w:ind w:firstLineChars="0"/>
        <w:outlineLvl w:val="1"/>
        <w:rPr>
          <w:rStyle w:val="26"/>
          <w:rFonts w:ascii="黑体" w:hAnsi="黑体" w:eastAsia="黑体"/>
          <w:b w:val="0"/>
          <w:color w:val="auto"/>
        </w:rPr>
      </w:pPr>
      <w:bookmarkStart w:id="56" w:name="_Toc15377207"/>
      <w:bookmarkStart w:id="57" w:name="_Toc15396605"/>
      <w:bookmarkStart w:id="58" w:name="_Toc23203"/>
      <w:bookmarkStart w:id="59" w:name="_Toc28060"/>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56"/>
      <w:bookmarkEnd w:id="57"/>
      <w:bookmarkEnd w:id="58"/>
      <w:bookmarkEnd w:id="59"/>
    </w:p>
    <w:p>
      <w:pPr>
        <w:spacing w:line="600" w:lineRule="exact"/>
        <w:ind w:firstLine="640" w:firstLineChars="200"/>
        <w:outlineLvl w:val="1"/>
        <w:rPr>
          <w:rFonts w:ascii="仿宋" w:hAnsi="仿宋" w:eastAsia="仿宋"/>
          <w:color w:val="auto"/>
          <w:sz w:val="32"/>
          <w:szCs w:val="32"/>
        </w:rPr>
      </w:pPr>
      <w:bookmarkStart w:id="60" w:name="_Toc15050"/>
      <w:bookmarkStart w:id="61" w:name="_Toc26958"/>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6826.00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61.35</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4281.53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38.48</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19.58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0.17</w:t>
      </w:r>
      <w:r>
        <w:rPr>
          <w:rFonts w:ascii="仿宋" w:hAnsi="仿宋" w:eastAsia="仿宋"/>
          <w:color w:val="auto"/>
          <w:sz w:val="32"/>
          <w:szCs w:val="32"/>
        </w:rPr>
        <w:t>%</w:t>
      </w:r>
      <w:r>
        <w:rPr>
          <w:rFonts w:hint="eastAsia" w:ascii="仿宋" w:hAnsi="仿宋" w:eastAsia="仿宋"/>
          <w:color w:val="auto"/>
          <w:sz w:val="32"/>
          <w:szCs w:val="32"/>
        </w:rPr>
        <w:t>。</w:t>
      </w:r>
      <w:bookmarkEnd w:id="60"/>
      <w:bookmarkEnd w:id="61"/>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支出决算结构图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7640" cy="2952115"/>
            <wp:effectExtent l="4445" t="4445" r="5715" b="1524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color w:val="auto"/>
          <w:sz w:val="32"/>
          <w:szCs w:val="32"/>
          <w:lang w:eastAsia="zh-CN"/>
        </w:rPr>
      </w:pPr>
    </w:p>
    <w:p>
      <w:pPr>
        <w:spacing w:line="600" w:lineRule="exact"/>
        <w:ind w:firstLine="640" w:firstLineChars="200"/>
        <w:outlineLvl w:val="1"/>
        <w:rPr>
          <w:rStyle w:val="26"/>
          <w:rFonts w:ascii="黑体" w:hAnsi="黑体" w:eastAsia="黑体"/>
          <w:b w:val="0"/>
          <w:color w:val="auto"/>
        </w:rPr>
      </w:pPr>
      <w:bookmarkStart w:id="62" w:name="_Toc15396606"/>
      <w:bookmarkStart w:id="63" w:name="_Toc5559"/>
      <w:bookmarkStart w:id="64" w:name="_Toc15377208"/>
      <w:bookmarkStart w:id="65" w:name="_Toc14060"/>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62"/>
      <w:bookmarkEnd w:id="63"/>
      <w:bookmarkEnd w:id="64"/>
      <w:bookmarkEnd w:id="65"/>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2020年增加了</w:t>
      </w:r>
      <w:r>
        <w:rPr>
          <w:rFonts w:hint="eastAsia" w:ascii="仿宋" w:hAnsi="仿宋" w:eastAsia="仿宋"/>
          <w:color w:val="auto"/>
          <w:sz w:val="32"/>
          <w:szCs w:val="32"/>
        </w:rPr>
        <w:t>四川省重点行业企业用地调查采样</w:t>
      </w:r>
      <w:r>
        <w:rPr>
          <w:rFonts w:hint="eastAsia" w:ascii="仿宋" w:hAnsi="仿宋" w:eastAsia="仿宋"/>
          <w:color w:val="auto"/>
          <w:sz w:val="32"/>
          <w:szCs w:val="32"/>
          <w:lang w:eastAsia="zh-CN"/>
        </w:rPr>
        <w:t>项目的</w:t>
      </w:r>
      <w:r>
        <w:rPr>
          <w:rFonts w:hint="eastAsia" w:ascii="仿宋" w:hAnsi="仿宋" w:eastAsia="仿宋"/>
          <w:color w:val="auto"/>
          <w:sz w:val="32"/>
          <w:szCs w:val="32"/>
          <w:lang w:val="en-US" w:eastAsia="zh-CN"/>
        </w:rPr>
        <w:t>2445.00万元和第四批生态环境保护资金1699.72万元。</w:t>
      </w:r>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财政拨款收、支决算总计变动情况</w:t>
      </w:r>
      <w:r>
        <w:rPr>
          <w:rFonts w:hint="eastAsia" w:ascii="仿宋" w:hAnsi="仿宋" w:eastAsia="仿宋"/>
          <w:color w:val="auto"/>
          <w:sz w:val="32"/>
          <w:szCs w:val="32"/>
          <w:lang w:eastAsia="zh-CN"/>
        </w:rPr>
        <w:t>如下图：</w:t>
      </w:r>
    </w:p>
    <w:p>
      <w:pPr>
        <w:spacing w:line="600" w:lineRule="exact"/>
        <w:ind w:firstLine="640" w:firstLineChars="200"/>
        <w:rPr>
          <w:rFonts w:ascii="仿宋" w:hAnsi="仿宋" w:eastAsia="仿宋"/>
          <w:color w:val="auto"/>
          <w:sz w:val="32"/>
          <w:szCs w:val="32"/>
        </w:rPr>
      </w:pPr>
    </w:p>
    <w:p>
      <w:pPr>
        <w:spacing w:line="600" w:lineRule="exact"/>
        <w:ind w:firstLine="420" w:firstLineChars="200"/>
        <w:outlineLvl w:val="1"/>
        <w:rPr>
          <w:rStyle w:val="26"/>
          <w:rFonts w:ascii="黑体" w:hAnsi="黑体" w:eastAsia="黑体"/>
          <w:b w:val="0"/>
          <w:color w:val="auto"/>
        </w:rPr>
      </w:pPr>
      <w:bookmarkStart w:id="66" w:name="_Toc15377209"/>
      <w:bookmarkStart w:id="67" w:name="_Toc15396607"/>
      <w:bookmarkStart w:id="68" w:name="_Toc30828"/>
      <w:bookmarkStart w:id="69" w:name="_Toc13618"/>
      <w:r>
        <w:rPr>
          <w:sz w:val="21"/>
        </w:rPr>
        <mc:AlternateContent>
          <mc:Choice Requires="wps">
            <w:drawing>
              <wp:anchor distT="0" distB="0" distL="114300" distR="114300" simplePos="0" relativeHeight="251662336" behindDoc="0" locked="0" layoutInCell="1" allowOverlap="1">
                <wp:simplePos x="0" y="0"/>
                <wp:positionH relativeFrom="column">
                  <wp:posOffset>4271010</wp:posOffset>
                </wp:positionH>
                <wp:positionV relativeFrom="paragraph">
                  <wp:posOffset>-2511425</wp:posOffset>
                </wp:positionV>
                <wp:extent cx="847725" cy="314325"/>
                <wp:effectExtent l="0" t="0" r="9525" b="9525"/>
                <wp:wrapNone/>
                <wp:docPr id="9" name="文本框 9"/>
                <wp:cNvGraphicFramePr/>
                <a:graphic xmlns:a="http://schemas.openxmlformats.org/drawingml/2006/main">
                  <a:graphicData uri="http://schemas.microsoft.com/office/word/2010/wordprocessingShape">
                    <wps:wsp>
                      <wps:cNvSpPr txBox="1"/>
                      <wps:spPr>
                        <a:xfrm>
                          <a:off x="5414010" y="4740275"/>
                          <a:ext cx="847725" cy="31432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3pt;margin-top:-197.75pt;height:24.75pt;width:66.75pt;z-index:251662336;mso-width-relative:page;mso-height-relative:page;" fillcolor="#F2F2F2 [3052]" filled="t" stroked="f" coordsize="21600,21600" o:gfxdata="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t1tDTYAAAADQEAAA8AAAAAAAAAAQAgAAAAIgAAAGRycy9kb3ducmV2&#10;LnhtbFBLAQIUABQAAAAIAIdO4kDOvKBlbgIAALwEAAAOAAAAAAAAAAEAIAAAACcBAABkcnMvZTJv&#10;RG9jLnhtbFBLBQYAAAAABgAGAFkBAAAHBgAAAAA=&#10;">
                <v:fill on="t" focussize="0,0"/>
                <v:stroke on="f" weight="0.5pt"/>
                <v:imagedata o:title=""/>
                <o:lock v:ext="edit" aspectratio="f"/>
                <v:textbox>
                  <w:txbxContent>
                    <w:p>
                      <w:pPr>
                        <w:rPr>
                          <w:rFonts w:hint="eastAsia" w:eastAsia="宋体"/>
                          <w:sz w:val="18"/>
                          <w:szCs w:val="18"/>
                          <w:lang w:eastAsia="zh-CN"/>
                        </w:rPr>
                      </w:pPr>
                      <w:r>
                        <w:rPr>
                          <w:rFonts w:hint="eastAsia"/>
                          <w:sz w:val="18"/>
                          <w:szCs w:val="18"/>
                          <w:lang w:eastAsia="zh-CN"/>
                        </w:rPr>
                        <w:t>单位：元</w:t>
                      </w:r>
                    </w:p>
                  </w:txbxContent>
                </v:textbox>
              </v:shape>
            </w:pict>
          </mc:Fallback>
        </mc:AlternateContent>
      </w:r>
      <w:r>
        <w:drawing>
          <wp:anchor distT="0" distB="0" distL="114300" distR="114300" simplePos="0" relativeHeight="251659264" behindDoc="1" locked="0" layoutInCell="1" allowOverlap="1">
            <wp:simplePos x="0" y="0"/>
            <wp:positionH relativeFrom="column">
              <wp:posOffset>61595</wp:posOffset>
            </wp:positionH>
            <wp:positionV relativeFrom="paragraph">
              <wp:posOffset>90170</wp:posOffset>
            </wp:positionV>
            <wp:extent cx="5219065" cy="2743200"/>
            <wp:effectExtent l="4445" t="4445" r="15240" b="14605"/>
            <wp:wrapTight wrapText="bothSides">
              <wp:wrapPolygon>
                <wp:start x="-18" y="-35"/>
                <wp:lineTo x="-18" y="21565"/>
                <wp:lineTo x="21505" y="21565"/>
                <wp:lineTo x="21505" y="-35"/>
                <wp:lineTo x="-18" y="-35"/>
              </wp:wrapPolygon>
            </wp:wrapTight>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66"/>
      <w:bookmarkEnd w:id="67"/>
      <w:bookmarkEnd w:id="68"/>
      <w:bookmarkEnd w:id="69"/>
    </w:p>
    <w:p>
      <w:pPr>
        <w:spacing w:line="600" w:lineRule="exact"/>
        <w:ind w:firstLine="643" w:firstLineChars="200"/>
        <w:outlineLvl w:val="2"/>
        <w:rPr>
          <w:rFonts w:ascii="仿宋" w:hAnsi="仿宋" w:eastAsia="仿宋"/>
          <w:b/>
          <w:color w:val="auto"/>
          <w:sz w:val="32"/>
          <w:szCs w:val="32"/>
        </w:rPr>
      </w:pPr>
      <w:bookmarkStart w:id="70" w:name="_Toc15377210"/>
      <w:r>
        <w:rPr>
          <w:rFonts w:hint="eastAsia" w:ascii="仿宋" w:hAnsi="仿宋" w:eastAsia="仿宋"/>
          <w:b/>
          <w:color w:val="auto"/>
          <w:sz w:val="32"/>
          <w:szCs w:val="32"/>
        </w:rPr>
        <w:t>（一）一般公共预算财政拨款支出决算总体情况</w:t>
      </w:r>
      <w:bookmarkEnd w:id="70"/>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90.72</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6349.63万元</w:t>
      </w:r>
      <w:r>
        <w:rPr>
          <w:rFonts w:hint="eastAsia" w:ascii="仿宋" w:hAnsi="仿宋" w:eastAsia="仿宋"/>
          <w:color w:val="auto"/>
          <w:sz w:val="32"/>
          <w:szCs w:val="32"/>
        </w:rPr>
        <w:t>相比，一般公共预算财政拨款增加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_GB2312" w:eastAsia="仿宋_GB2312" w:cs="仿宋_GB2312"/>
          <w:sz w:val="32"/>
          <w:szCs w:val="32"/>
        </w:rPr>
        <w:t>节能环保支出增加4144.72万元，住房保障支出减少了85.00万元</w:t>
      </w:r>
      <w:r>
        <w:rPr>
          <w:rFonts w:hint="eastAsia" w:ascii="仿宋_GB2312" w:hAnsi="仿宋_GB2312" w:eastAsia="仿宋_GB2312" w:cs="仿宋_GB2312"/>
          <w:color w:val="000000"/>
          <w:sz w:val="32"/>
          <w:szCs w:val="32"/>
        </w:rPr>
        <w:t>。</w:t>
      </w:r>
    </w:p>
    <w:p>
      <w:pPr>
        <w:spacing w:line="600" w:lineRule="exact"/>
        <w:ind w:firstLine="640" w:firstLineChars="200"/>
        <w:outlineLvl w:val="2"/>
        <w:rPr>
          <w:rFonts w:hint="eastAsia" w:ascii="仿宋" w:hAnsi="仿宋" w:eastAsia="仿宋"/>
          <w:color w:val="auto"/>
          <w:sz w:val="32"/>
          <w:szCs w:val="32"/>
          <w:lang w:eastAsia="zh-CN"/>
        </w:rPr>
      </w:pPr>
      <w:r>
        <w:rPr>
          <w:rFonts w:hint="eastAsia" w:ascii="仿宋" w:hAnsi="仿宋" w:eastAsia="仿宋"/>
          <w:color w:val="auto"/>
          <w:sz w:val="32"/>
          <w:szCs w:val="32"/>
        </w:rPr>
        <w:t>一般公共预算财政拨款支出决算变动情况</w:t>
      </w:r>
      <w:bookmarkStart w:id="71" w:name="_Toc15377211"/>
      <w:r>
        <w:rPr>
          <w:rFonts w:hint="eastAsia" w:ascii="仿宋" w:hAnsi="仿宋" w:eastAsia="仿宋"/>
          <w:color w:val="auto"/>
          <w:sz w:val="32"/>
          <w:szCs w:val="32"/>
          <w:lang w:eastAsia="zh-CN"/>
        </w:rPr>
        <w:t>如下图：</w:t>
      </w:r>
    </w:p>
    <w:p>
      <w:pPr>
        <w:pStyle w:val="2"/>
        <w:rPr>
          <w:rFonts w:hint="eastAsia" w:ascii="仿宋" w:hAnsi="仿宋" w:eastAsia="仿宋"/>
          <w:color w:val="auto"/>
          <w:sz w:val="32"/>
          <w:szCs w:val="32"/>
          <w:lang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497205</wp:posOffset>
                </wp:positionV>
                <wp:extent cx="647700" cy="295275"/>
                <wp:effectExtent l="0" t="0" r="0" b="9525"/>
                <wp:wrapNone/>
                <wp:docPr id="7" name="文本框 7"/>
                <wp:cNvGraphicFramePr/>
                <a:graphic xmlns:a="http://schemas.openxmlformats.org/drawingml/2006/main">
                  <a:graphicData uri="http://schemas.microsoft.com/office/word/2010/wordprocessingShape">
                    <wps:wsp>
                      <wps:cNvSpPr txBox="1"/>
                      <wps:spPr>
                        <a:xfrm>
                          <a:off x="5537835" y="2935605"/>
                          <a:ext cx="647700" cy="29527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05pt;margin-top:39.15pt;height:23.25pt;width:51pt;z-index:251660288;mso-width-relative:page;mso-height-relative:page;" fillcolor="#F2F2F2 [3052]" filled="t" stroked="f" coordsize="21600,21600" o:gfxdata="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dQQPdYAAAAKAQAADwAAAAAAAAABACAAAAAiAAAAZHJzL2Rvd25yZXYueG1s&#10;UEsBAhQAFAAAAAgAh07iQNrKUxpsAgAAvAQAAA4AAAAAAAAAAQAgAAAAJQEAAGRycy9lMm9Eb2Mu&#10;eG1sUEsFBgAAAAAGAAYAWQEAAAMGAAAAAA==&#10;">
                <v:fill on="t" focussize="0,0"/>
                <v:stroke on="f" weight="0.5pt"/>
                <v:imagedata o:title=""/>
                <o:lock v:ext="edit" aspectratio="f"/>
                <v:textbox>
                  <w:txbxContent>
                    <w:p>
                      <w:pPr>
                        <w:rPr>
                          <w:rFonts w:hint="eastAsia" w:eastAsia="宋体"/>
                          <w:lang w:eastAsia="zh-CN"/>
                        </w:rPr>
                      </w:pPr>
                      <w:r>
                        <w:rPr>
                          <w:rFonts w:hint="eastAsia"/>
                          <w:sz w:val="18"/>
                          <w:szCs w:val="18"/>
                          <w:lang w:eastAsia="zh-CN"/>
                        </w:rPr>
                        <w:t>单位：元</w:t>
                      </w:r>
                    </w:p>
                  </w:txbxContent>
                </v:textbox>
              </v:shape>
            </w:pict>
          </mc:Fallback>
        </mc:AlternateContent>
      </w:r>
      <w:r>
        <w:drawing>
          <wp:inline distT="0" distB="0" distL="114300" distR="114300">
            <wp:extent cx="5285105" cy="2715260"/>
            <wp:effectExtent l="4445" t="4445" r="6350" b="23495"/>
            <wp:docPr id="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（二）一般公共预算财政拨款支出决算结构情况</w:t>
      </w:r>
      <w:bookmarkEnd w:id="71"/>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1398.66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13.86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414.47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lang w:eastAsia="zh-CN"/>
        </w:rPr>
        <w:t>节能环保支出</w:t>
      </w:r>
      <w:r>
        <w:rPr>
          <w:rFonts w:hint="eastAsia" w:ascii="仿宋" w:hAnsi="仿宋" w:eastAsia="仿宋"/>
          <w:color w:val="auto"/>
          <w:sz w:val="32"/>
          <w:szCs w:val="32"/>
          <w:lang w:val="en-US" w:eastAsia="zh-CN"/>
        </w:rPr>
        <w:t>4144.72万元，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41.06</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lang w:eastAsia="zh-CN"/>
        </w:rPr>
        <w:t>资源勘探工业信息等支出</w:t>
      </w:r>
      <w:r>
        <w:rPr>
          <w:rFonts w:hint="eastAsia" w:ascii="仿宋" w:hAnsi="仿宋" w:eastAsia="仿宋"/>
          <w:color w:val="auto"/>
          <w:sz w:val="32"/>
          <w:szCs w:val="32"/>
          <w:lang w:val="en-US" w:eastAsia="zh-CN"/>
        </w:rPr>
        <w:t>3097.41万元，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30.68</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1020.70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10.10</w:t>
      </w:r>
      <w:r>
        <w:rPr>
          <w:rFonts w:ascii="仿宋" w:hAnsi="仿宋" w:eastAsia="仿宋"/>
          <w:color w:val="auto"/>
          <w:sz w:val="32"/>
          <w:szCs w:val="32"/>
        </w:rPr>
        <w:t>%</w:t>
      </w:r>
      <w:r>
        <w:rPr>
          <w:rFonts w:hint="eastAsia" w:ascii="仿宋" w:hAnsi="仿宋" w:eastAsia="仿宋"/>
          <w:color w:val="auto"/>
          <w:sz w:val="32"/>
          <w:szCs w:val="32"/>
        </w:rPr>
        <w:t>。</w:t>
      </w:r>
      <w:bookmarkStart w:id="72" w:name="_Toc15377212"/>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（三）一般公共预算财政拨款支出决算具体情况</w:t>
      </w:r>
      <w:bookmarkEnd w:id="72"/>
    </w:p>
    <w:p>
      <w:pPr>
        <w:spacing w:line="600" w:lineRule="exact"/>
        <w:ind w:firstLine="643" w:firstLineChars="200"/>
        <w:outlineLvl w:val="2"/>
        <w:rPr>
          <w:rFonts w:ascii="仿宋" w:hAnsi="仿宋" w:eastAsia="仿宋"/>
          <w:color w:val="auto"/>
          <w:sz w:val="32"/>
          <w:szCs w:val="32"/>
        </w:rPr>
      </w:pPr>
      <w:bookmarkStart w:id="73" w:name="_Toc15378460"/>
      <w:bookmarkStart w:id="74" w:name="_Toc15377213"/>
      <w:bookmarkStart w:id="75"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10094.96万元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100</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73"/>
      <w:bookmarkEnd w:id="74"/>
      <w:bookmarkEnd w:id="75"/>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1</w:t>
      </w:r>
      <w:r>
        <w:rPr>
          <w:rStyle w:val="15"/>
          <w:rFonts w:ascii="仿宋" w:hAnsi="仿宋" w:eastAsia="仿宋"/>
          <w:bCs/>
          <w:color w:val="auto"/>
          <w:sz w:val="32"/>
          <w:szCs w:val="32"/>
        </w:rPr>
        <w:t>.</w:t>
      </w:r>
      <w:r>
        <w:rPr>
          <w:rStyle w:val="15"/>
          <w:rFonts w:hint="eastAsia" w:ascii="仿宋" w:hAnsi="仿宋" w:eastAsia="仿宋"/>
          <w:bCs/>
          <w:color w:val="auto"/>
          <w:sz w:val="32"/>
          <w:szCs w:val="32"/>
        </w:rPr>
        <w:t>科学技术</w:t>
      </w:r>
      <w:r>
        <w:rPr>
          <w:rStyle w:val="15"/>
          <w:rFonts w:hint="eastAsia" w:ascii="仿宋" w:hAnsi="仿宋" w:eastAsia="仿宋"/>
          <w:bCs/>
          <w:color w:val="auto"/>
          <w:sz w:val="32"/>
          <w:szCs w:val="32"/>
          <w:lang w:eastAsia="zh-CN"/>
        </w:rPr>
        <w:t>（类）科技重大项目</w:t>
      </w:r>
      <w:r>
        <w:rPr>
          <w:rStyle w:val="15"/>
          <w:rFonts w:hint="eastAsia" w:ascii="仿宋" w:hAnsi="仿宋" w:eastAsia="仿宋"/>
          <w:b/>
          <w:bCs/>
          <w:color w:val="auto"/>
          <w:sz w:val="32"/>
          <w:szCs w:val="32"/>
          <w:lang w:val="en-US" w:eastAsia="zh-CN"/>
        </w:rPr>
        <w:t>（款）重点研发计划（项）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Fonts w:hint="eastAsia"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2</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0"/>
          <w:szCs w:val="30"/>
          <w:lang w:val="en-US" w:eastAsia="zh-CN"/>
        </w:rPr>
        <w:t>事业单位离退休（项）：</w:t>
      </w:r>
      <w:r>
        <w:rPr>
          <w:rStyle w:val="15"/>
          <w:rFonts w:hint="eastAsia" w:ascii="仿宋" w:hAnsi="仿宋" w:eastAsia="仿宋"/>
          <w:b w:val="0"/>
          <w:bCs w:val="0"/>
          <w:color w:val="auto"/>
          <w:sz w:val="32"/>
          <w:szCs w:val="32"/>
          <w:lang w:val="en-US" w:eastAsia="zh-CN"/>
        </w:rPr>
        <w:t>支出决算为307.24万元</w:t>
      </w:r>
      <w:r>
        <w:rPr>
          <w:rStyle w:val="15"/>
          <w:rFonts w:hint="eastAsia" w:ascii="仿宋" w:hAnsi="仿宋" w:eastAsia="仿宋"/>
          <w:b w:val="0"/>
          <w:bCs/>
          <w:color w:val="auto"/>
          <w:sz w:val="32"/>
          <w:szCs w:val="32"/>
          <w:lang w:val="en-US" w:eastAsia="zh-CN"/>
        </w:rPr>
        <w:t>，</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val="0"/>
          <w:color w:val="auto"/>
          <w:sz w:val="32"/>
          <w:szCs w:val="32"/>
          <w:lang w:val="en-US"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2"/>
          <w:szCs w:val="32"/>
          <w:lang w:val="en-US" w:eastAsia="zh-CN"/>
        </w:rPr>
        <w:t>机关</w:t>
      </w:r>
      <w:r>
        <w:rPr>
          <w:rStyle w:val="15"/>
          <w:rFonts w:hint="eastAsia" w:ascii="仿宋" w:hAnsi="仿宋" w:eastAsia="仿宋"/>
          <w:b/>
          <w:bCs/>
          <w:color w:val="auto"/>
          <w:sz w:val="32"/>
          <w:szCs w:val="32"/>
          <w:lang w:eastAsia="zh-CN"/>
        </w:rPr>
        <w:t>事业单位基本养老保险缴费（项）：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708.02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val="0"/>
          <w:color w:val="auto"/>
          <w:sz w:val="32"/>
          <w:szCs w:val="32"/>
          <w:lang w:eastAsia="zh-CN"/>
        </w:rPr>
        <w:t>机关事业单位职业年金缴费（项）</w:t>
      </w:r>
      <w:r>
        <w:rPr>
          <w:rStyle w:val="15"/>
          <w:rFonts w:hint="eastAsia" w:ascii="仿宋" w:hAnsi="仿宋" w:eastAsia="仿宋"/>
          <w:b w:val="0"/>
          <w:bCs/>
          <w:color w:val="auto"/>
          <w:sz w:val="32"/>
          <w:szCs w:val="32"/>
          <w:lang w:eastAsia="zh-CN"/>
        </w:rPr>
        <w:t>支出决算为</w:t>
      </w:r>
      <w:r>
        <w:rPr>
          <w:rStyle w:val="15"/>
          <w:rFonts w:hint="eastAsia" w:ascii="仿宋" w:hAnsi="仿宋" w:eastAsia="仿宋"/>
          <w:b w:val="0"/>
          <w:bCs/>
          <w:color w:val="auto"/>
          <w:sz w:val="32"/>
          <w:szCs w:val="32"/>
          <w:lang w:val="en-US" w:eastAsia="zh-CN"/>
        </w:rPr>
        <w:t>360.45万元，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
          <w:bCs w:val="0"/>
          <w:color w:val="auto"/>
          <w:sz w:val="32"/>
          <w:szCs w:val="32"/>
          <w:lang w:eastAsia="zh-CN"/>
        </w:rPr>
        <w:t>其他社会保障和就业支出</w:t>
      </w:r>
      <w:r>
        <w:rPr>
          <w:rStyle w:val="15"/>
          <w:rFonts w:hint="eastAsia" w:ascii="仿宋" w:hAnsi="仿宋" w:eastAsia="仿宋"/>
          <w:b/>
          <w:bCs w:val="0"/>
          <w:color w:val="auto"/>
          <w:sz w:val="32"/>
          <w:szCs w:val="32"/>
          <w:lang w:val="en-US" w:eastAsia="zh-CN"/>
        </w:rPr>
        <w:t>（款）</w:t>
      </w:r>
      <w:r>
        <w:rPr>
          <w:rStyle w:val="15"/>
          <w:rFonts w:hint="eastAsia" w:ascii="仿宋" w:hAnsi="仿宋" w:eastAsia="仿宋"/>
          <w:b/>
          <w:bCs w:val="0"/>
          <w:color w:val="auto"/>
          <w:sz w:val="32"/>
          <w:szCs w:val="32"/>
          <w:lang w:eastAsia="zh-CN"/>
        </w:rPr>
        <w:t>其他社会保障和就业（项）：</w:t>
      </w:r>
      <w:r>
        <w:rPr>
          <w:rStyle w:val="15"/>
          <w:rFonts w:hint="eastAsia" w:ascii="仿宋" w:hAnsi="仿宋" w:eastAsia="仿宋"/>
          <w:b w:val="0"/>
          <w:bCs/>
          <w:color w:val="auto"/>
          <w:sz w:val="32"/>
          <w:szCs w:val="32"/>
          <w:lang w:eastAsia="zh-CN"/>
        </w:rPr>
        <w:t>支出</w:t>
      </w:r>
      <w:r>
        <w:rPr>
          <w:rStyle w:val="15"/>
          <w:rFonts w:hint="eastAsia" w:ascii="仿宋" w:hAnsi="仿宋" w:eastAsia="仿宋"/>
          <w:b w:val="0"/>
          <w:bCs/>
          <w:color w:val="auto"/>
          <w:sz w:val="32"/>
          <w:szCs w:val="32"/>
          <w:lang w:val="en-US" w:eastAsia="zh-CN"/>
        </w:rPr>
        <w:t>决算22.95万元，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3</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Style w:val="15"/>
          <w:rFonts w:hint="eastAsia" w:ascii="仿宋" w:hAnsi="仿宋" w:eastAsia="仿宋"/>
          <w:bCs/>
          <w:color w:val="auto"/>
          <w:sz w:val="32"/>
          <w:szCs w:val="32"/>
          <w:lang w:eastAsia="zh-CN"/>
        </w:rPr>
        <w:t>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lang w:val="en-US" w:eastAsia="zh-CN"/>
        </w:rPr>
        <w:t>（款）事业单位医疗（项）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4</w:t>
      </w:r>
      <w:r>
        <w:rPr>
          <w:rStyle w:val="15"/>
          <w:rFonts w:ascii="仿宋" w:hAnsi="仿宋" w:eastAsia="仿宋"/>
          <w:bCs/>
          <w:color w:val="auto"/>
          <w:sz w:val="32"/>
          <w:szCs w:val="32"/>
        </w:rPr>
        <w:t>.</w:t>
      </w:r>
      <w:r>
        <w:rPr>
          <w:rFonts w:hint="eastAsia" w:ascii="仿宋" w:hAnsi="仿宋" w:eastAsia="仿宋"/>
          <w:b/>
          <w:bCs/>
          <w:color w:val="auto"/>
          <w:sz w:val="32"/>
          <w:szCs w:val="32"/>
          <w:lang w:eastAsia="zh-CN"/>
        </w:rPr>
        <w:t>节能环保支出类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污染防治</w:t>
      </w:r>
      <w:r>
        <w:rPr>
          <w:rStyle w:val="15"/>
          <w:rFonts w:hint="eastAsia" w:ascii="仿宋" w:hAnsi="仿宋" w:eastAsia="仿宋"/>
          <w:bCs/>
          <w:color w:val="auto"/>
          <w:sz w:val="32"/>
          <w:szCs w:val="32"/>
          <w:lang w:val="en-US" w:eastAsia="zh-CN"/>
        </w:rPr>
        <w:t>（款）其他污染防治（项）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cstheme="minorBidi"/>
          <w:b w:val="0"/>
          <w:bCs w:val="0"/>
          <w:color w:val="auto"/>
          <w:sz w:val="32"/>
          <w:szCs w:val="32"/>
          <w:lang w:val="en-US" w:eastAsia="zh-CN"/>
        </w:rPr>
      </w:pPr>
      <w:r>
        <w:rPr>
          <w:rStyle w:val="15"/>
          <w:rFonts w:hint="eastAsia" w:ascii="仿宋" w:hAnsi="仿宋" w:eastAsia="仿宋" w:cstheme="minorBidi"/>
          <w:bCs/>
          <w:color w:val="auto"/>
          <w:sz w:val="32"/>
          <w:szCs w:val="32"/>
          <w:lang w:val="en-US" w:eastAsia="zh-CN"/>
        </w:rPr>
        <w:t>5、资源勘探工业信息等-资源勘探开发-其他资源勘探业：</w:t>
      </w:r>
      <w:r>
        <w:rPr>
          <w:rStyle w:val="15"/>
          <w:rFonts w:hint="eastAsia" w:ascii="仿宋" w:hAnsi="仿宋" w:eastAsia="仿宋" w:cstheme="minorBidi"/>
          <w:b w:val="0"/>
          <w:bCs w:val="0"/>
          <w:color w:val="auto"/>
          <w:sz w:val="32"/>
          <w:szCs w:val="32"/>
          <w:lang w:val="en-US" w:eastAsia="zh-CN"/>
        </w:rPr>
        <w:t>支出决算为3097.41万元，完成预算100%。</w:t>
      </w:r>
    </w:p>
    <w:p>
      <w:pPr>
        <w:pStyle w:val="2"/>
        <w:ind w:firstLine="643" w:firstLineChars="200"/>
        <w:rPr>
          <w:rFonts w:ascii="仿宋" w:hAnsi="仿宋" w:eastAsia="仿宋"/>
          <w:color w:val="auto"/>
          <w:sz w:val="32"/>
          <w:szCs w:val="32"/>
        </w:rPr>
      </w:pPr>
      <w:r>
        <w:rPr>
          <w:rStyle w:val="15"/>
          <w:rFonts w:hint="eastAsia" w:ascii="仿宋" w:hAnsi="仿宋" w:eastAsia="仿宋" w:cstheme="minorBidi"/>
          <w:bCs/>
          <w:color w:val="auto"/>
          <w:sz w:val="32"/>
          <w:szCs w:val="32"/>
          <w:lang w:val="en-US" w:eastAsia="zh-CN"/>
        </w:rPr>
        <w:t>6、住房保障类（类）住房改革支出（款）住房公积金（项）：</w:t>
      </w:r>
      <w:r>
        <w:rPr>
          <w:rStyle w:val="15"/>
          <w:rFonts w:hint="eastAsia" w:ascii="仿宋" w:hAnsi="仿宋" w:eastAsia="仿宋" w:cstheme="minorBidi"/>
          <w:b w:val="0"/>
          <w:bCs w:val="0"/>
          <w:color w:val="auto"/>
          <w:sz w:val="32"/>
          <w:szCs w:val="32"/>
          <w:lang w:val="en-US" w:eastAsia="zh-CN"/>
        </w:rPr>
        <w:t>支出决算为491.48万元，完成预算100%；</w:t>
      </w:r>
      <w:r>
        <w:rPr>
          <w:rStyle w:val="15"/>
          <w:rFonts w:hint="eastAsia" w:ascii="仿宋" w:hAnsi="仿宋" w:eastAsia="仿宋" w:cstheme="minorBidi"/>
          <w:bCs/>
          <w:color w:val="auto"/>
          <w:sz w:val="32"/>
          <w:szCs w:val="32"/>
          <w:lang w:val="en-US" w:eastAsia="zh-CN"/>
        </w:rPr>
        <w:t>住房保障类（类）住房改革支出（款）</w:t>
      </w:r>
      <w:r>
        <w:rPr>
          <w:rStyle w:val="15"/>
          <w:rFonts w:hint="eastAsia" w:ascii="仿宋" w:hAnsi="仿宋" w:eastAsia="仿宋" w:cstheme="minorBidi"/>
          <w:b/>
          <w:bCs/>
          <w:color w:val="auto"/>
          <w:sz w:val="32"/>
          <w:szCs w:val="32"/>
          <w:lang w:val="en-US" w:eastAsia="zh-CN"/>
        </w:rPr>
        <w:t>购房补贴（项）：</w:t>
      </w:r>
      <w:r>
        <w:rPr>
          <w:rStyle w:val="15"/>
          <w:rFonts w:hint="eastAsia" w:ascii="仿宋" w:hAnsi="仿宋" w:eastAsia="仿宋" w:cstheme="minorBidi"/>
          <w:b w:val="0"/>
          <w:bCs w:val="0"/>
          <w:color w:val="auto"/>
          <w:sz w:val="32"/>
          <w:szCs w:val="32"/>
          <w:lang w:val="en-US" w:eastAsia="zh-CN"/>
        </w:rPr>
        <w:t>支出决算为529.22万元，完成预算100%。</w:t>
      </w:r>
    </w:p>
    <w:p>
      <w:pPr>
        <w:tabs>
          <w:tab w:val="right" w:pos="8306"/>
        </w:tabs>
        <w:spacing w:line="600" w:lineRule="exact"/>
        <w:ind w:firstLine="640" w:firstLineChars="200"/>
        <w:outlineLvl w:val="1"/>
        <w:rPr>
          <w:rStyle w:val="26"/>
          <w:color w:val="auto"/>
        </w:rPr>
      </w:pPr>
      <w:bookmarkStart w:id="76" w:name="_Toc18762"/>
      <w:bookmarkStart w:id="77" w:name="_Toc15377214"/>
      <w:bookmarkStart w:id="78" w:name="_Toc15396608"/>
      <w:bookmarkStart w:id="79" w:name="_Toc1260"/>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76"/>
      <w:bookmarkEnd w:id="77"/>
      <w:bookmarkEnd w:id="78"/>
      <w:bookmarkEnd w:id="79"/>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5931.24</w:t>
      </w:r>
      <w:r>
        <w:rPr>
          <w:rFonts w:hint="eastAsia" w:ascii="仿宋" w:hAnsi="仿宋" w:eastAsia="仿宋"/>
          <w:color w:val="auto"/>
          <w:sz w:val="32"/>
          <w:szCs w:val="32"/>
        </w:rPr>
        <w:t>万元，其中：</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5787.43</w:t>
      </w:r>
      <w:r>
        <w:rPr>
          <w:rFonts w:hint="eastAsia" w:ascii="仿宋" w:hAnsi="仿宋" w:eastAsia="仿宋"/>
          <w:color w:val="auto"/>
          <w:sz w:val="32"/>
          <w:szCs w:val="32"/>
        </w:rPr>
        <w:t>万元，主要包括：基本工资、津贴补贴、奖金、机关事业单位基本养老保险缴费、职业年金缴费、</w:t>
      </w:r>
      <w:r>
        <w:rPr>
          <w:rFonts w:hint="eastAsia" w:ascii="仿宋" w:hAnsi="仿宋" w:eastAsia="仿宋"/>
          <w:color w:val="auto"/>
          <w:sz w:val="32"/>
          <w:szCs w:val="32"/>
          <w:lang w:eastAsia="zh-CN"/>
        </w:rPr>
        <w:t>职工基本医疗保险缴费、</w:t>
      </w:r>
      <w:r>
        <w:rPr>
          <w:rFonts w:hint="eastAsia" w:ascii="仿宋" w:hAnsi="仿宋" w:eastAsia="仿宋"/>
          <w:color w:val="auto"/>
          <w:sz w:val="32"/>
          <w:szCs w:val="32"/>
        </w:rPr>
        <w:t>其他社会保障缴费、离休费、住房公积金、其他对个人和家庭的补助支出等。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143.81</w:t>
      </w:r>
      <w:r>
        <w:rPr>
          <w:rFonts w:hint="eastAsia" w:ascii="仿宋" w:hAnsi="仿宋" w:eastAsia="仿宋"/>
          <w:color w:val="auto"/>
          <w:sz w:val="32"/>
          <w:szCs w:val="32"/>
        </w:rPr>
        <w:t>万元，主要包括：</w:t>
      </w:r>
      <w:r>
        <w:rPr>
          <w:rFonts w:hint="eastAsia" w:ascii="仿宋" w:hAnsi="仿宋" w:eastAsia="仿宋"/>
          <w:color w:val="auto"/>
          <w:sz w:val="32"/>
          <w:szCs w:val="32"/>
          <w:highlight w:val="none"/>
        </w:rPr>
        <w:t>差旅费、工会经费、福利费、其他商品和服务支出。</w:t>
      </w:r>
    </w:p>
    <w:p>
      <w:pPr>
        <w:spacing w:line="600" w:lineRule="exact"/>
        <w:ind w:firstLine="640"/>
        <w:outlineLvl w:val="1"/>
        <w:rPr>
          <w:rStyle w:val="26"/>
          <w:rFonts w:ascii="黑体" w:hAnsi="黑体" w:eastAsia="黑体"/>
          <w:b w:val="0"/>
          <w:color w:val="auto"/>
        </w:rPr>
      </w:pPr>
      <w:bookmarkStart w:id="80" w:name="_Toc15396609"/>
      <w:bookmarkStart w:id="81" w:name="_Toc15423"/>
      <w:bookmarkStart w:id="82" w:name="_Toc15377215"/>
      <w:bookmarkStart w:id="83" w:name="_Toc27511"/>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80"/>
      <w:bookmarkEnd w:id="81"/>
      <w:bookmarkEnd w:id="82"/>
      <w:bookmarkEnd w:id="83"/>
    </w:p>
    <w:p>
      <w:pPr>
        <w:spacing w:line="600" w:lineRule="exact"/>
        <w:ind w:firstLine="640"/>
        <w:outlineLvl w:val="1"/>
        <w:rPr>
          <w:rFonts w:hint="eastAsia" w:ascii="仿宋_GB2312" w:eastAsia="仿宋_GB2312"/>
          <w:color w:val="auto"/>
          <w:sz w:val="32"/>
          <w:szCs w:val="32"/>
          <w:lang w:val="en-US" w:eastAsia="zh-CN"/>
        </w:rPr>
      </w:pPr>
      <w:bookmarkStart w:id="84" w:name="_Toc15377218"/>
      <w:bookmarkStart w:id="85" w:name="_Toc15396610"/>
      <w:r>
        <w:rPr>
          <w:rFonts w:hint="eastAsia" w:ascii="仿宋_GB2312" w:eastAsia="仿宋_GB2312"/>
          <w:color w:val="auto"/>
          <w:sz w:val="32"/>
          <w:szCs w:val="32"/>
          <w:lang w:val="en-US" w:eastAsia="zh-CN"/>
        </w:rPr>
        <w:t>本单位为事业单位，无三公经费。2019年三公经费为0，2020年三公经费为0，与上年度一致，与上年度相比无增减变化。</w:t>
      </w:r>
      <w:bookmarkStart w:id="158" w:name="_GoBack"/>
      <w:bookmarkEnd w:id="158"/>
    </w:p>
    <w:p>
      <w:pPr>
        <w:spacing w:line="600" w:lineRule="exact"/>
        <w:ind w:firstLine="640"/>
        <w:outlineLvl w:val="1"/>
        <w:rPr>
          <w:rStyle w:val="26"/>
          <w:rFonts w:ascii="黑体" w:hAnsi="黑体" w:eastAsia="黑体"/>
          <w:color w:val="auto"/>
        </w:rPr>
      </w:pPr>
      <w:bookmarkStart w:id="86" w:name="_Toc14606"/>
      <w:bookmarkStart w:id="87" w:name="_Toc3549"/>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84"/>
      <w:bookmarkEnd w:id="85"/>
      <w:bookmarkEnd w:id="86"/>
      <w:bookmarkEnd w:id="87"/>
    </w:p>
    <w:p>
      <w:pPr>
        <w:spacing w:line="600" w:lineRule="exact"/>
        <w:ind w:firstLine="640"/>
        <w:rPr>
          <w:rFonts w:ascii="仿宋_GB2312" w:eastAsia="仿宋_GB2312"/>
          <w:color w:val="auto"/>
          <w:sz w:val="32"/>
          <w:szCs w:val="32"/>
        </w:rPr>
      </w:pPr>
      <w:r>
        <w:rPr>
          <w:rFonts w:hint="eastAsia" w:ascii="仿宋_GB2312" w:eastAsia="仿宋_GB2312"/>
          <w:color w:val="auto"/>
          <w:sz w:val="32"/>
          <w:szCs w:val="32"/>
          <w:lang w:val="en-US" w:eastAsia="zh-CN"/>
        </w:rPr>
        <w:t>2020年，政府性基金预算财政拨款支出为零</w:t>
      </w:r>
      <w:r>
        <w:rPr>
          <w:rFonts w:hint="eastAsia" w:ascii="仿宋_GB2312" w:eastAsia="仿宋_GB2312"/>
          <w:color w:val="auto"/>
          <w:sz w:val="32"/>
          <w:szCs w:val="32"/>
        </w:rPr>
        <w:t>。</w:t>
      </w:r>
    </w:p>
    <w:p>
      <w:pPr>
        <w:numPr>
          <w:ilvl w:val="0"/>
          <w:numId w:val="4"/>
        </w:numPr>
        <w:spacing w:line="600" w:lineRule="exact"/>
        <w:ind w:firstLine="640"/>
        <w:outlineLvl w:val="1"/>
        <w:rPr>
          <w:rStyle w:val="26"/>
          <w:rFonts w:ascii="黑体" w:hAnsi="黑体" w:eastAsia="黑体"/>
          <w:b w:val="0"/>
          <w:color w:val="auto"/>
        </w:rPr>
      </w:pPr>
      <w:bookmarkStart w:id="88" w:name="_Toc24870"/>
      <w:bookmarkStart w:id="89" w:name="_Toc31688"/>
      <w:bookmarkStart w:id="90" w:name="_Toc15377219"/>
      <w:bookmarkStart w:id="91" w:name="_Toc15396611"/>
      <w:r>
        <w:rPr>
          <w:rStyle w:val="26"/>
          <w:rFonts w:hint="eastAsia" w:ascii="黑体" w:hAnsi="黑体" w:eastAsia="黑体"/>
          <w:b w:val="0"/>
          <w:color w:val="auto"/>
        </w:rPr>
        <w:t>国有资本经营预算支出决算情况说明</w:t>
      </w:r>
      <w:bookmarkEnd w:id="88"/>
      <w:bookmarkEnd w:id="89"/>
      <w:bookmarkEnd w:id="90"/>
      <w:bookmarkEnd w:id="91"/>
    </w:p>
    <w:p>
      <w:pPr>
        <w:spacing w:line="600" w:lineRule="exact"/>
        <w:ind w:firstLine="640"/>
        <w:rPr>
          <w:rFonts w:ascii="方正小标宋简体" w:hAnsi="方正小标宋简体" w:eastAsia="方正小标宋简体" w:cs="方正小标宋简体"/>
          <w:color w:val="auto"/>
          <w:sz w:val="44"/>
          <w:szCs w:val="44"/>
        </w:rPr>
      </w:pPr>
      <w:r>
        <w:rPr>
          <w:rFonts w:hint="eastAsia" w:ascii="仿宋_GB2312" w:eastAsia="仿宋_GB2312"/>
          <w:color w:val="auto"/>
          <w:sz w:val="32"/>
          <w:szCs w:val="32"/>
          <w:lang w:val="en-US" w:eastAsia="zh-CN"/>
        </w:rPr>
        <w:t>2020年，国有资本经营预算财政拨款支出为零</w:t>
      </w:r>
      <w:r>
        <w:rPr>
          <w:rFonts w:hint="eastAsia" w:ascii="仿宋_GB2312" w:eastAsia="仿宋_GB2312"/>
          <w:color w:val="auto"/>
          <w:sz w:val="32"/>
          <w:szCs w:val="32"/>
        </w:rPr>
        <w:t>。</w:t>
      </w:r>
    </w:p>
    <w:p>
      <w:pPr>
        <w:numPr>
          <w:ilvl w:val="0"/>
          <w:numId w:val="4"/>
        </w:numPr>
        <w:spacing w:line="600" w:lineRule="exact"/>
        <w:ind w:firstLine="640"/>
        <w:outlineLvl w:val="1"/>
        <w:rPr>
          <w:rStyle w:val="26"/>
          <w:rFonts w:hint="eastAsia" w:ascii="黑体" w:hAnsi="黑体" w:eastAsia="黑体"/>
          <w:b w:val="0"/>
          <w:color w:val="auto"/>
        </w:rPr>
      </w:pPr>
      <w:bookmarkStart w:id="92" w:name="_Toc3700"/>
      <w:bookmarkStart w:id="93" w:name="_Toc15377221"/>
      <w:bookmarkStart w:id="94" w:name="_Toc15396612"/>
      <w:bookmarkStart w:id="95" w:name="_Toc15809"/>
      <w:r>
        <w:rPr>
          <w:rStyle w:val="26"/>
          <w:rFonts w:hint="eastAsia" w:ascii="黑体" w:hAnsi="黑体" w:eastAsia="黑体"/>
          <w:b w:val="0"/>
          <w:color w:val="auto"/>
        </w:rPr>
        <w:t>其他重要事项的情况说明</w:t>
      </w:r>
      <w:bookmarkEnd w:id="92"/>
      <w:bookmarkEnd w:id="93"/>
      <w:bookmarkEnd w:id="94"/>
      <w:bookmarkEnd w:id="95"/>
    </w:p>
    <w:p>
      <w:pPr>
        <w:spacing w:line="600" w:lineRule="exact"/>
        <w:ind w:firstLine="643" w:firstLineChars="200"/>
        <w:outlineLvl w:val="2"/>
        <w:rPr>
          <w:rFonts w:ascii="仿宋" w:hAnsi="仿宋" w:eastAsia="仿宋"/>
          <w:color w:val="auto"/>
          <w:sz w:val="32"/>
          <w:szCs w:val="32"/>
        </w:rPr>
      </w:pPr>
      <w:bookmarkStart w:id="96" w:name="_Toc15377222"/>
      <w:r>
        <w:rPr>
          <w:rFonts w:hint="eastAsia" w:ascii="仿宋" w:hAnsi="仿宋" w:eastAsia="仿宋"/>
          <w:b/>
          <w:color w:val="auto"/>
          <w:sz w:val="32"/>
          <w:szCs w:val="32"/>
        </w:rPr>
        <w:t>（一）机关运行经费支出情况</w:t>
      </w:r>
      <w:bookmarkEnd w:id="9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lang w:eastAsia="zh-CN"/>
        </w:rPr>
      </w:pPr>
      <w:bookmarkStart w:id="97" w:name="_Toc15377223"/>
      <w:r>
        <w:rPr>
          <w:rFonts w:hint="eastAsia" w:ascii="仿宋_GB2312" w:eastAsia="仿宋_GB2312"/>
          <w:color w:val="auto"/>
          <w:sz w:val="32"/>
          <w:szCs w:val="32"/>
          <w:lang w:eastAsia="zh-CN"/>
        </w:rPr>
        <w:t>本单位不涉及。</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（二）政府采购支出情况</w:t>
      </w:r>
      <w:bookmarkEnd w:id="97"/>
    </w:p>
    <w:p>
      <w:pPr>
        <w:spacing w:line="600" w:lineRule="exact"/>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98" w:name="_Toc15377224"/>
      <w:r>
        <w:rPr>
          <w:rFonts w:hint="eastAsia" w:ascii="仿宋" w:hAnsi="仿宋" w:eastAsia="仿宋"/>
          <w:b/>
          <w:color w:val="auto"/>
          <w:sz w:val="32"/>
          <w:szCs w:val="32"/>
        </w:rPr>
        <w:t>（三）国有资产占有使用情况</w:t>
      </w:r>
      <w:bookmarkEnd w:id="9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辆，其中：其他用车</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单位生产方面；</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根据预算绩效管理要求，年终执行完毕后，对2个项目开展了绩效目标完成情况自评。从评价情况来看根据布点方案，进行现场采样，对样品进行实验分析，出具实验结果及监测报告，为风险分级工作和优先管控名录建立提供科学依据，完成了802个地块（不包含1地块无样品）的分析测试任务。项目数量指标、质量指标、经济指标、社会效益等指标均达到预期目标。</w:t>
      </w:r>
      <w:r>
        <w:rPr>
          <w:rFonts w:ascii="宋体" w:hAnsi="宋体" w:eastAsia="宋体" w:cs="宋体"/>
          <w:sz w:val="24"/>
          <w:szCs w:val="24"/>
        </w:rPr>
        <w:br w:type="textWrapping"/>
      </w:r>
      <w:r>
        <w:rPr>
          <w:rFonts w:hint="eastAsia" w:ascii="仿宋_GB2312" w:hAnsi="Times New Roman" w:eastAsia="仿宋_GB2312" w:cs="Times New Roman"/>
          <w:color w:val="auto"/>
          <w:kern w:val="2"/>
          <w:sz w:val="32"/>
          <w:szCs w:val="32"/>
          <w:lang w:val="en-US" w:eastAsia="zh-CN" w:bidi="ar-SA"/>
        </w:rPr>
        <w:t>   </w:t>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 </w:t>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本单位在2020年度</w:t>
      </w:r>
      <w:r>
        <w:rPr>
          <w:rFonts w:hint="eastAsia" w:cs="Times New Roman"/>
          <w:color w:val="auto"/>
          <w:kern w:val="2"/>
          <w:sz w:val="32"/>
          <w:szCs w:val="32"/>
          <w:lang w:val="en-US" w:eastAsia="zh-CN" w:bidi="ar-SA"/>
        </w:rPr>
        <w:t>单位</w:t>
      </w:r>
      <w:r>
        <w:rPr>
          <w:rFonts w:hint="eastAsia" w:ascii="仿宋_GB2312" w:hAnsi="Times New Roman" w:eastAsia="仿宋_GB2312" w:cs="Times New Roman"/>
          <w:color w:val="auto"/>
          <w:kern w:val="2"/>
          <w:sz w:val="32"/>
          <w:szCs w:val="32"/>
          <w:lang w:val="en-US" w:eastAsia="zh-CN" w:bidi="ar-SA"/>
        </w:rPr>
        <w:t>决算中反映了“重点行业企业用地土壤调查项目”“2020年第四批生态环境保护资金（土壤污染防治）”共2个项目绩效目标实际完成情况。</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1）重点行业企业用地土壤调查项目绩效目标完成情况综述。项目全年预算数1299万元，执行数为1299万元，完成预算的100%。通过项目实施，完成了四川省9个市（州）共383个地块、2个区域土壤背景点、14个化工园样品采集及承担区域内土壤样品的粗制工作，项目数量指标、质量指标、经济指标、社会效益等指标均达到预期目标。</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发现的主要问题：因新冠疫情影响，原采样启动计划被迫延迟，但生态环境部仍要求按原计划完成采样，因此为确保采样工作的按期、保质完成，在组织采样过程中增加了采样人员的投入。</w:t>
      </w:r>
    </w:p>
    <w:p>
      <w:pPr>
        <w:pStyle w:val="2"/>
        <w:ind w:firstLine="640" w:firstLineChars="200"/>
        <w:jc w:val="both"/>
        <w:rPr>
          <w:rFonts w:hint="eastAsia"/>
          <w:lang w:val="en-US" w:eastAsia="zh-CN"/>
        </w:rPr>
      </w:pPr>
      <w:r>
        <w:rPr>
          <w:rFonts w:hint="eastAsia" w:cs="Times New Roman"/>
          <w:color w:val="auto"/>
          <w:kern w:val="2"/>
          <w:sz w:val="32"/>
          <w:szCs w:val="32"/>
          <w:lang w:val="en-US" w:eastAsia="zh-CN" w:bidi="ar-SA"/>
        </w:rPr>
        <w:t>改进措施：</w:t>
      </w:r>
      <w:r>
        <w:rPr>
          <w:rFonts w:hint="eastAsia" w:ascii="仿宋_GB2312" w:hAnsi="Times New Roman" w:eastAsia="仿宋_GB2312" w:cs="Times New Roman"/>
          <w:color w:val="auto"/>
          <w:kern w:val="2"/>
          <w:sz w:val="32"/>
          <w:szCs w:val="32"/>
          <w:lang w:val="en-US" w:eastAsia="zh-CN" w:bidi="ar-SA"/>
        </w:rPr>
        <w:t>通过制定科学、合理的采样方案，合理安排采样工序，并积极探索新的采样工艺，缩短采样工期，确保按期完成采样任务，并降低采样成本。 </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2）四川省重点行业企业用地调查分析项目绩效目标完成情况综述。项目全年预算数1146万元，执行数为1146万元，完成预算的100%。通过项目实施，对加强土壤环境污染防治和风险管控，维护公众健康，建立和完善我省土壤环境管理体系，提升土壤环境管理水平，促进土壤资源永续利用、保障人居环境安全，具有十分重要的意义。发现的主要问题：本项目实施过程中，主要问题存在于采样环节和分析测试环节进度不一致，通过及时沟通，使得本项目高效开展，最终在川内率先完成分析测试任务。</w:t>
      </w:r>
      <w:r>
        <w:rPr>
          <w:rFonts w:hint="eastAsia" w:ascii="仿宋_GB2312" w:hAnsi="Times New Roman" w:eastAsia="仿宋_GB2312" w:cs="Times New Roman"/>
          <w:color w:val="auto"/>
          <w:kern w:val="2"/>
          <w:sz w:val="32"/>
          <w:szCs w:val="32"/>
          <w:lang w:val="en-US" w:eastAsia="zh-CN" w:bidi="ar-SA"/>
        </w:rPr>
        <w:br w:type="textWrapping"/>
      </w:r>
      <w:r>
        <w:rPr>
          <w:rFonts w:hint="eastAsia" w:ascii="仿宋_GB2312" w:hAnsi="Times New Roman" w:eastAsia="仿宋_GB2312" w:cs="Times New Roman"/>
          <w:color w:val="auto"/>
          <w:kern w:val="2"/>
          <w:sz w:val="32"/>
          <w:szCs w:val="32"/>
          <w:lang w:val="en-US" w:eastAsia="zh-CN" w:bidi="ar-SA"/>
        </w:rPr>
        <w:t>项目满意度需要提升。在项目实施过程中，客观上，时间紧、任务重、数据量大，主观上，前期经验不足，对数据处理及审核不够细致，虽然合格率远超技术要求规定，但是仍然出现了部分质量问题。</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改进措施：前期充分介入，了解项目开展方式；优化人员仪器配置，确保分析进度；积极进行方法及流程创新，提高精度，提高效率；开发数据处理系统，确保分析上报高效、精确。</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ascii="宋体" w:hAnsi="宋体" w:cs="宋体"/>
                <w:color w:val="auto"/>
                <w:sz w:val="36"/>
                <w:szCs w:val="36"/>
              </w:rPr>
            </w:pPr>
            <w:r>
              <w:rPr>
                <w:rFonts w:hint="eastAsia" w:ascii="宋体" w:hAnsi="宋体" w:cs="宋体"/>
                <w:b/>
                <w:bCs/>
                <w:color w:val="auto"/>
                <w:kern w:val="0"/>
                <w:sz w:val="36"/>
                <w:szCs w:val="36"/>
                <w:lang w:bidi="ar"/>
              </w:rPr>
              <w:t>项目绩效目标完成情况表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，得分3</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较有效防患防控调查范围内土壤风险，得分4</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准确掌握重点行业企业用地基本情况，得分10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详查数据服务对象满意，得分8</w:t>
            </w:r>
          </w:p>
        </w:tc>
      </w:tr>
    </w:tbl>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ascii="宋体" w:hAnsi="宋体" w:cs="宋体"/>
                <w:color w:val="auto"/>
                <w:sz w:val="36"/>
                <w:szCs w:val="36"/>
              </w:rPr>
            </w:pPr>
            <w:r>
              <w:rPr>
                <w:rFonts w:hint="eastAsia" w:ascii="宋体" w:hAnsi="宋体" w:cs="宋体"/>
                <w:b/>
                <w:bCs/>
                <w:color w:val="auto"/>
                <w:kern w:val="0"/>
                <w:sz w:val="36"/>
                <w:szCs w:val="36"/>
                <w:lang w:bidi="ar"/>
              </w:rPr>
              <w:t>项目绩效目标完成情况表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rPr>
              <w:t>1265.69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119.69</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，得分6</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准确掌握重点行业企业用地基本情况，得分6</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详查数据服务对象满意，得分9</w:t>
            </w:r>
          </w:p>
        </w:tc>
      </w:tr>
    </w:tbl>
    <w:p>
      <w:pPr>
        <w:spacing w:line="580" w:lineRule="exact"/>
        <w:rPr>
          <w:rFonts w:hint="eastAsia" w:ascii="楷体_GB2312" w:hAnsi="楷体_GB2312" w:eastAsia="楷体_GB2312" w:cs="楷体_GB2312"/>
          <w:color w:val="auto"/>
          <w:sz w:val="32"/>
          <w:szCs w:val="32"/>
        </w:rPr>
      </w:pPr>
    </w:p>
    <w:p>
      <w:pPr>
        <w:spacing w:line="580" w:lineRule="exact"/>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tabs>
          <w:tab w:val="left" w:pos="3885"/>
        </w:tabs>
        <w:snapToGrid w:val="0"/>
        <w:spacing w:line="600" w:lineRule="exact"/>
        <w:ind w:firstLine="640" w:firstLineChars="200"/>
        <w:jc w:val="left"/>
        <w:rPr>
          <w:rFonts w:ascii="仿宋_GB2312" w:eastAsia="仿宋_GB2312"/>
          <w:b/>
          <w:color w:val="auto"/>
          <w:sz w:val="32"/>
          <w:szCs w:val="32"/>
        </w:rPr>
      </w:pPr>
      <w:r>
        <w:rPr>
          <w:rFonts w:hint="eastAsia" w:ascii="仿宋_GB2312" w:hAnsi="仿宋_GB2312" w:eastAsia="仿宋_GB2312" w:cs="仿宋_GB2312"/>
          <w:color w:val="auto"/>
          <w:sz w:val="32"/>
          <w:szCs w:val="32"/>
        </w:rPr>
        <w:t>本单位自行组织对</w:t>
      </w:r>
      <w:r>
        <w:rPr>
          <w:rFonts w:hint="eastAsia" w:ascii="仿宋_GB2312" w:hAnsi="仿宋_GB2312" w:eastAsia="仿宋_GB2312" w:cs="仿宋_GB2312"/>
          <w:color w:val="auto"/>
          <w:sz w:val="32"/>
          <w:szCs w:val="32"/>
          <w:lang w:val="en-US" w:eastAsia="zh-CN"/>
        </w:rPr>
        <w:t>四川省重点行业企业用地调查分析</w:t>
      </w:r>
      <w:r>
        <w:rPr>
          <w:rFonts w:hint="eastAsia" w:ascii="仿宋_GB2312" w:hAnsi="仿宋_GB2312" w:eastAsia="仿宋_GB2312" w:cs="仿宋_GB2312"/>
          <w:color w:val="auto"/>
          <w:sz w:val="32"/>
          <w:szCs w:val="32"/>
        </w:rPr>
        <w:t>项目开展了绩效评价，《2020年四川省重点行业企业用地调查采样项目支出绩效自评报告》见附件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99" w:name="_Toc7099"/>
      <w:bookmarkStart w:id="100" w:name="_Toc12243"/>
      <w:bookmarkStart w:id="101" w:name="_Toc14320"/>
      <w:bookmarkStart w:id="102" w:name="_Toc8145"/>
      <w:bookmarkStart w:id="103" w:name="_Toc15396613"/>
      <w:bookmarkStart w:id="104"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99"/>
      <w:bookmarkEnd w:id="100"/>
      <w:bookmarkEnd w:id="101"/>
      <w:bookmarkEnd w:id="102"/>
      <w:bookmarkEnd w:id="103"/>
      <w:bookmarkEnd w:id="10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lang w:eastAsia="zh-CN"/>
        </w:rPr>
        <w:t>使用非财政拨款结余</w:t>
      </w:r>
      <w:r>
        <w:rPr>
          <w:rFonts w:hint="eastAsia" w:ascii="仿宋_GB2312" w:eastAsia="仿宋_GB2312"/>
          <w:sz w:val="32"/>
          <w:szCs w:val="32"/>
        </w:rPr>
        <w:t>：指事业单位</w:t>
      </w:r>
      <w:r>
        <w:rPr>
          <w:rFonts w:hint="eastAsia" w:ascii="仿宋_GB2312" w:eastAsia="仿宋_GB2312"/>
          <w:sz w:val="32"/>
          <w:szCs w:val="32"/>
          <w:lang w:eastAsia="zh-CN"/>
        </w:rPr>
        <w:t>使用以前年度积累的非财政拨款结余弥补当年收支差额的金额</w:t>
      </w:r>
      <w:r>
        <w:rPr>
          <w:rFonts w:hint="eastAsia" w:ascii="仿宋_GB2312" w:eastAsia="仿宋_GB2312"/>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科学技术</w:t>
      </w:r>
      <w:r>
        <w:rPr>
          <w:rFonts w:hint="eastAsia" w:ascii="仿宋_GB2312" w:eastAsia="仿宋_GB2312"/>
          <w:color w:val="000000"/>
          <w:sz w:val="32"/>
          <w:szCs w:val="32"/>
          <w:lang w:eastAsia="zh-CN"/>
        </w:rPr>
        <w:t>生产</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反映科学技术方面的支出。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第一批省级科技计划项目资金（典型污染介质污染源识别自动化分析技术研究）</w:t>
      </w:r>
      <w:r>
        <w:rPr>
          <w:rFonts w:hint="eastAsia" w:ascii="仿宋_GB2312" w:eastAsia="仿宋_GB2312"/>
          <w:color w:val="000000"/>
          <w:sz w:val="32"/>
          <w:szCs w:val="32"/>
        </w:rPr>
        <w:t>。</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eastAsia="zh-CN"/>
        </w:rPr>
        <w:t>7、</w:t>
      </w:r>
      <w:r>
        <w:rPr>
          <w:rFonts w:hint="eastAsia" w:ascii="仿宋_GB2312" w:eastAsia="仿宋_GB2312"/>
          <w:bCs w:val="0"/>
          <w:color w:val="000000"/>
          <w:sz w:val="32"/>
          <w:szCs w:val="32"/>
        </w:rPr>
        <w:t>社会保障和就业支出（类）行政事业单位养老支出（款）事业单位离退休（项）：指用于局属事业单位离休人员工资及生活补贴。</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val="en-US" w:eastAsia="zh-CN"/>
        </w:rPr>
        <w:t>8、</w:t>
      </w:r>
      <w:r>
        <w:rPr>
          <w:rFonts w:hint="eastAsia" w:ascii="仿宋_GB2312" w:eastAsia="仿宋_GB2312"/>
          <w:bCs w:val="0"/>
          <w:color w:val="000000"/>
          <w:sz w:val="32"/>
          <w:szCs w:val="32"/>
        </w:rPr>
        <w:t>社会保障和就业（类）行政事业单位养老支出（款）机关事业单位基本养老保险缴费支出（项）：指部门实施养老保险制度由单位缴纳的养老保险费的支出。</w:t>
      </w:r>
      <w:r>
        <w:rPr>
          <w:rFonts w:hint="eastAsia" w:ascii="仿宋_GB2312" w:eastAsia="仿宋_GB2312"/>
          <w:bCs w:val="0"/>
          <w:color w:val="000000"/>
          <w:sz w:val="32"/>
          <w:szCs w:val="32"/>
        </w:rPr>
        <w:br w:type="textWrapping"/>
      </w:r>
      <w:r>
        <w:rPr>
          <w:rFonts w:hint="eastAsia" w:ascii="仿宋_GB2312" w:eastAsia="仿宋_GB2312"/>
          <w:bCs w:val="0"/>
          <w:color w:val="000000"/>
          <w:sz w:val="32"/>
          <w:szCs w:val="32"/>
        </w:rPr>
        <w:t>　　</w:t>
      </w:r>
      <w:r>
        <w:rPr>
          <w:rFonts w:hint="eastAsia" w:ascii="仿宋_GB2312" w:eastAsia="仿宋_GB2312"/>
          <w:bCs w:val="0"/>
          <w:color w:val="000000"/>
          <w:sz w:val="32"/>
          <w:szCs w:val="32"/>
          <w:lang w:eastAsia="zh-CN"/>
        </w:rPr>
        <w:t>9、</w:t>
      </w:r>
      <w:r>
        <w:rPr>
          <w:rFonts w:hint="eastAsia" w:ascii="仿宋_GB2312" w:eastAsia="仿宋_GB2312"/>
          <w:bCs w:val="0"/>
          <w:color w:val="000000"/>
          <w:sz w:val="32"/>
          <w:szCs w:val="32"/>
        </w:rPr>
        <w:t>社会保障和就业（类）行政事业单位养老支出（款）机关事业单位职业年金缴费支出（项）：指部门实施养老保险制度由单位缴纳的职业年金的支出。</w:t>
      </w:r>
    </w:p>
    <w:p>
      <w:pPr>
        <w:ind w:firstLine="640" w:firstLineChars="200"/>
        <w:rPr>
          <w:rFonts w:hint="eastAsia" w:ascii="仿宋_GB2312" w:eastAsia="仿宋_GB2312"/>
          <w:color w:val="000000"/>
          <w:sz w:val="32"/>
          <w:szCs w:val="32"/>
        </w:rPr>
      </w:pPr>
      <w:r>
        <w:rPr>
          <w:rFonts w:hint="eastAsia" w:ascii="仿宋_GB2312" w:eastAsia="仿宋_GB2312"/>
          <w:bCs w:val="0"/>
          <w:color w:val="000000"/>
          <w:sz w:val="32"/>
          <w:szCs w:val="32"/>
          <w:lang w:val="en-US" w:eastAsia="zh-CN"/>
        </w:rPr>
        <w:t>10、</w:t>
      </w:r>
      <w:r>
        <w:rPr>
          <w:rFonts w:hint="eastAsia" w:ascii="仿宋_GB2312" w:eastAsia="仿宋_GB2312"/>
          <w:bCs w:val="0"/>
          <w:color w:val="000000"/>
          <w:sz w:val="32"/>
          <w:szCs w:val="32"/>
        </w:rPr>
        <w:t>社会保障和就业支出（类）抚恤（款）死亡抚恤（项）：指用于局属事业单位职工死亡抚恤金。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社会保障和就业（类）其他社会保障和就业支出（款）其他社会保障和就业支出（项）：指用于行政事业单位离退休其他方面的支出（6.30人员特殊困难补助）。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卫生健康支出（类）行政事业单位医疗（款）事业单位医疗（项）：指局机关及所属事业单位用于缴纳单位基本医疗保险支出。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节能环保</w:t>
      </w:r>
      <w:r>
        <w:rPr>
          <w:rFonts w:hint="eastAsia" w:ascii="仿宋_GB2312" w:eastAsia="仿宋_GB2312"/>
          <w:color w:val="000000"/>
          <w:sz w:val="32"/>
          <w:szCs w:val="32"/>
          <w:lang w:eastAsia="zh-CN"/>
        </w:rPr>
        <w:t>支出，是只污染防治，在治理大气、水体、噪声、固体废弃物、放射性物质等方面的支出。</w:t>
      </w:r>
    </w:p>
    <w:p>
      <w:pPr>
        <w:spacing w:line="600" w:lineRule="exact"/>
        <w:ind w:firstLine="640" w:firstLineChars="200"/>
        <w:rPr>
          <w:rFonts w:eastAsia="方正仿宋简体"/>
          <w:bCs/>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住房保障（类）住房改革支出（款）住房公积金（项）：指用于行政事业单位按规定为在职职工缴纳的住房公积金。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资源勘探信息等支出（类）资源勘探开发（款）其他资源勘探业支出（项）：指局所属事业单位用于保障机构正常运行、开展日常工作的基本支出。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spacing w:line="600" w:lineRule="exact"/>
        <w:jc w:val="center"/>
        <w:outlineLvl w:val="0"/>
        <w:rPr>
          <w:rStyle w:val="25"/>
          <w:rFonts w:ascii="黑体" w:hAnsi="黑体" w:eastAsia="黑体"/>
          <w:b w:val="0"/>
        </w:rPr>
      </w:pPr>
      <w:bookmarkStart w:id="105" w:name="_Toc15377226"/>
      <w:r>
        <w:rPr>
          <w:rFonts w:ascii="宋体"/>
          <w:b/>
          <w:color w:val="000000"/>
          <w:sz w:val="44"/>
          <w:szCs w:val="44"/>
        </w:rPr>
        <w:br w:type="page"/>
      </w:r>
      <w:bookmarkStart w:id="106" w:name="_Toc12729"/>
      <w:bookmarkStart w:id="107" w:name="_Toc20334"/>
      <w:bookmarkStart w:id="108" w:name="_Toc26782"/>
      <w:bookmarkStart w:id="109" w:name="_Toc11376"/>
      <w:bookmarkStart w:id="110"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106"/>
      <w:bookmarkEnd w:id="107"/>
      <w:bookmarkEnd w:id="108"/>
      <w:bookmarkEnd w:id="109"/>
      <w:bookmarkEnd w:id="110"/>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2020年四川省重点行业企业用地调查采样项目支出绩效自评报告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Times New Roman"/>
          <w:color w:val="auto"/>
          <w:kern w:val="2"/>
          <w:sz w:val="32"/>
          <w:szCs w:val="32"/>
          <w:lang w:val="zh-CN" w:eastAsia="zh-CN" w:bidi="ar-SA"/>
        </w:rPr>
      </w:pPr>
      <w:r>
        <w:rPr>
          <w:rFonts w:hint="eastAsia" w:ascii="仿宋_GB2312" w:hAnsi="宋体" w:eastAsia="仿宋_GB2312" w:cs="Times New Roman"/>
          <w:color w:val="auto"/>
          <w:kern w:val="2"/>
          <w:sz w:val="32"/>
          <w:szCs w:val="32"/>
          <w:lang w:val="zh-CN" w:eastAsia="zh-CN" w:bidi="ar-SA"/>
        </w:rPr>
        <w:t>（项目单位自评）</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numPr>
          <w:ilvl w:val="0"/>
          <w:numId w:val="6"/>
        </w:numPr>
        <w:tabs>
          <w:tab w:val="left" w:pos="3885"/>
        </w:tabs>
        <w:snapToGrid w:val="0"/>
        <w:spacing w:line="600" w:lineRule="exact"/>
        <w:ind w:firstLine="562" w:firstLineChars="200"/>
        <w:jc w:val="left"/>
        <w:rPr>
          <w:rFonts w:ascii="黑体" w:hAnsi="宋体" w:eastAsia="黑体"/>
          <w:b/>
          <w:bCs/>
          <w:sz w:val="28"/>
          <w:szCs w:val="22"/>
        </w:rPr>
      </w:pPr>
      <w:bookmarkStart w:id="111" w:name="_Toc15396618"/>
      <w:r>
        <w:rPr>
          <w:rFonts w:hint="eastAsia" w:ascii="黑体" w:hAnsi="宋体" w:eastAsia="黑体"/>
          <w:b/>
          <w:bCs/>
          <w:sz w:val="28"/>
          <w:szCs w:val="22"/>
        </w:rPr>
        <w:t>基本情况</w:t>
      </w:r>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项目概况</w:t>
      </w:r>
    </w:p>
    <w:p>
      <w:pPr>
        <w:pStyle w:val="2"/>
        <w:ind w:firstLine="560"/>
        <w:rPr>
          <w:lang w:val="zh-CN"/>
        </w:rPr>
      </w:pPr>
      <w:r>
        <w:rPr>
          <w:rFonts w:hint="eastAsia"/>
        </w:rPr>
        <w:t>四川省</w:t>
      </w:r>
      <w:r>
        <w:rPr>
          <w:rFonts w:hint="eastAsia"/>
          <w:lang w:val="zh-CN"/>
        </w:rPr>
        <w:t>重点行业企业用地调查</w:t>
      </w:r>
      <w:r>
        <w:rPr>
          <w:rFonts w:hint="eastAsia"/>
        </w:rPr>
        <w:t>采样</w:t>
      </w:r>
      <w:r>
        <w:rPr>
          <w:rFonts w:hint="eastAsia"/>
          <w:lang w:val="zh-CN"/>
        </w:rPr>
        <w:t>项目是我国首次大范围、全覆盖进行重点行业企业用地调查工作，也是国家实施生态文明建设、绿水青山就是金山银山发展理念的重点项目。</w:t>
      </w:r>
    </w:p>
    <w:p>
      <w:pPr>
        <w:pStyle w:val="2"/>
        <w:ind w:firstLine="560"/>
        <w:rPr>
          <w:lang w:val="zh-CN"/>
        </w:rPr>
      </w:pPr>
      <w:r>
        <w:rPr>
          <w:rFonts w:hint="eastAsia"/>
          <w:lang w:val="zh-CN"/>
        </w:rPr>
        <w:t>四川省地质工程勘察院集团有限公司承担</w:t>
      </w:r>
      <w:r>
        <w:rPr>
          <w:rFonts w:hint="eastAsia"/>
        </w:rPr>
        <w:t>了</w:t>
      </w:r>
      <w:r>
        <w:rPr>
          <w:rFonts w:hint="eastAsia"/>
          <w:lang w:val="zh-CN"/>
        </w:rPr>
        <w:t>9个市（州）共383个地块、2个区域土壤背景点、14个化工园样品采集及承担区域内土壤样品的粗制工作。</w:t>
      </w:r>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项目实施情况</w:t>
      </w:r>
    </w:p>
    <w:p>
      <w:pPr>
        <w:pStyle w:val="2"/>
        <w:ind w:firstLine="560"/>
      </w:pPr>
      <w:r>
        <w:rPr>
          <w:rFonts w:hint="eastAsia"/>
        </w:rPr>
        <w:t>2019年底，四川省启动了重点行业企业用地土壤污染状况详查工作，并要求于2020年年底前掌握全省重点行业企业用地中污染地块的分布及其环境风险情况。</w:t>
      </w:r>
    </w:p>
    <w:p>
      <w:pPr>
        <w:rPr>
          <w:sz w:val="28"/>
          <w:szCs w:val="22"/>
          <w:lang w:val="zh-CN"/>
        </w:rPr>
      </w:pPr>
      <w:r>
        <w:rPr>
          <w:rFonts w:hint="eastAsia"/>
        </w:rPr>
        <w:t xml:space="preserve">  </w:t>
      </w:r>
      <w:r>
        <w:rPr>
          <w:rFonts w:hint="eastAsia" w:ascii="仿宋_GB2312" w:hAnsi="Times New Roman" w:eastAsia="仿宋_GB2312" w:cs="Times New Roman"/>
          <w:kern w:val="0"/>
          <w:sz w:val="30"/>
          <w:szCs w:val="24"/>
          <w:lang w:val="en-US" w:eastAsia="zh-CN" w:bidi="ar-SA"/>
        </w:rPr>
        <w:t xml:space="preserve">  </w:t>
      </w:r>
      <w:r>
        <w:rPr>
          <w:rFonts w:hint="eastAsia" w:ascii="仿宋_GB2312" w:hAnsi="Times New Roman" w:eastAsia="仿宋_GB2312" w:cs="Times New Roman"/>
          <w:kern w:val="0"/>
          <w:sz w:val="30"/>
          <w:szCs w:val="24"/>
          <w:lang w:val="zh-CN" w:eastAsia="zh-CN" w:bidi="ar-SA"/>
        </w:rPr>
        <w:t xml:space="preserve"> </w:t>
      </w:r>
      <w:bookmarkStart w:id="112" w:name="_Hlk75348294"/>
      <w:r>
        <w:rPr>
          <w:rFonts w:hint="eastAsia" w:ascii="仿宋_GB2312" w:hAnsi="Times New Roman" w:eastAsia="仿宋_GB2312" w:cs="Times New Roman"/>
          <w:kern w:val="0"/>
          <w:sz w:val="30"/>
          <w:szCs w:val="24"/>
          <w:lang w:val="zh-CN" w:eastAsia="zh-CN" w:bidi="ar-SA"/>
        </w:rPr>
        <w:t>按照四川省生态环境厅的统一安排，四川省企业用地调查工作的采样工作于2019年12月完成资金申报，我单位根据项目下达任务，依据《工程勘察设计标准》（2002年修订本）、川价函[2007]6号四川省环境监测收费标准编制了四川省重点行业企业用地调查采样预算书。</w:t>
      </w:r>
    </w:p>
    <w:bookmarkEnd w:id="112"/>
    <w:p>
      <w:pPr>
        <w:pStyle w:val="2"/>
        <w:ind w:firstLine="560"/>
      </w:pPr>
      <w:r>
        <w:rPr>
          <w:rFonts w:hint="eastAsia"/>
        </w:rPr>
        <w:t>为进一步贯彻国家、省级的重点行业企业用地调查技术规定，进一步贯彻落实《四川省重点行业企业用地初步采样调查实施方案》，规范重点行业企业用地调查项目采样、样品流转、收样、粗制样、质控等环节的具体工作，2019年，我单位编制了《四川省重点行业企业用地调查采样实施方案》及《四川省重点行业企业用地调查采样质量控制方案》并在全流程中严格执行。方案中对人员安排、仪器配置、物资耗材管理、项目开展流程、质量控制方式等方面进行了充分的描述，并于2020年1月在国家试点地块中，进一步规范了技术人员的实际采样操作。</w:t>
      </w:r>
    </w:p>
    <w:p>
      <w:pPr>
        <w:pStyle w:val="2"/>
        <w:ind w:firstLine="560"/>
      </w:pPr>
      <w:r>
        <w:rPr>
          <w:rFonts w:hint="eastAsia"/>
        </w:rPr>
        <w:t>2019年1</w:t>
      </w:r>
      <w:r>
        <w:t>0</w:t>
      </w:r>
      <w:r>
        <w:rPr>
          <w:rFonts w:hint="eastAsia"/>
        </w:rPr>
        <w:t>月，我单位正式启动采样工作，项目组成员严格按照既定方案开展工作，坚持财政资金专款专用，以优质高效完成采样工作为目标，明确分工、倒排工期，于</w:t>
      </w:r>
      <w:r>
        <w:t>8</w:t>
      </w:r>
      <w:r>
        <w:rPr>
          <w:rFonts w:hint="eastAsia"/>
        </w:rPr>
        <w:t>月</w:t>
      </w:r>
      <w:r>
        <w:t>23</w:t>
      </w:r>
      <w:r>
        <w:rPr>
          <w:rFonts w:hint="eastAsia"/>
        </w:rPr>
        <w:t>日优质高效完成了野外采样任务。</w:t>
      </w:r>
    </w:p>
    <w:p>
      <w:pPr>
        <w:numPr>
          <w:ilvl w:val="0"/>
          <w:numId w:val="7"/>
        </w:numPr>
        <w:adjustRightInd w:val="0"/>
        <w:snapToGrid w:val="0"/>
        <w:spacing w:line="580" w:lineRule="exact"/>
        <w:ind w:firstLine="720"/>
      </w:pPr>
      <w:r>
        <w:rPr>
          <w:rFonts w:hint="eastAsia" w:ascii="楷体_GB2312" w:hAnsi="宋体" w:eastAsia="楷体_GB2312"/>
          <w:b/>
          <w:sz w:val="28"/>
          <w:szCs w:val="36"/>
        </w:rPr>
        <w:t>资金投入使用情况</w:t>
      </w:r>
    </w:p>
    <w:p>
      <w:pPr>
        <w:pStyle w:val="2"/>
        <w:ind w:firstLine="560"/>
        <w:rPr>
          <w:rFonts w:hint="eastAsia" w:ascii="仿宋_GB2312" w:hAnsi="Calibri" w:eastAsia="仿宋_GB2312" w:cs="仿宋"/>
          <w:color w:val="000000"/>
          <w:kern w:val="0"/>
          <w:sz w:val="32"/>
          <w:szCs w:val="32"/>
          <w:lang w:val="en-US" w:eastAsia="zh-CN" w:bidi="ar-SA"/>
        </w:rPr>
      </w:pPr>
      <w:bookmarkStart w:id="113" w:name="_Hlk75348660"/>
      <w:r>
        <w:rPr>
          <w:rFonts w:hint="eastAsia" w:ascii="仿宋_GB2312" w:hAnsi="Calibri" w:eastAsia="仿宋_GB2312" w:cs="仿宋"/>
          <w:color w:val="000000"/>
          <w:kern w:val="0"/>
          <w:sz w:val="32"/>
          <w:szCs w:val="32"/>
          <w:lang w:val="en-US" w:eastAsia="zh-CN" w:bidi="ar-SA"/>
        </w:rPr>
        <w:t xml:space="preserve"> 根据《四川省财政厅关于2020年省级生态环境保护专项资金（第三批）支出预算的通知》（川财资环〔2020〕43号），我单位2020年收到省财政厅拨付“四川省重点行业企业用地调查采样项目”专项资金1,299.00万元，专项资金到位及时。</w:t>
      </w:r>
    </w:p>
    <w:bookmarkEnd w:id="113"/>
    <w:p>
      <w:pPr>
        <w:pStyle w:val="2"/>
        <w:ind w:firstLine="560"/>
        <w:rPr>
          <w:rFonts w:hint="eastAsia"/>
        </w:rPr>
      </w:pPr>
      <w:r>
        <w:rPr>
          <w:rFonts w:hint="eastAsia" w:ascii="仿宋_GB2312" w:hAnsi="Calibri" w:eastAsia="仿宋_GB2312" w:cs="仿宋"/>
          <w:color w:val="000000"/>
          <w:kern w:val="0"/>
          <w:sz w:val="32"/>
          <w:szCs w:val="32"/>
          <w:lang w:val="en-US" w:eastAsia="zh-CN" w:bidi="ar-SA"/>
        </w:rPr>
        <w:t>截止2020年9月，使用资金1299.00万元，其中人员费681.75万元，交通费38.25万元，差旅费34.07万元，咨询劳务费463.61万元，专用材料和燃料费28.04万元，设备使用费47.18万元，印刷费1.87万元，办公费1.08万元，邮电费0.01万元，其他费用2.78万元。</w:t>
      </w:r>
      <w:bookmarkStart w:id="114" w:name="_Hlk75348766"/>
      <w:r>
        <w:rPr>
          <w:rFonts w:hint="eastAsia" w:ascii="仿宋_GB2312" w:hAnsi="Calibri" w:eastAsia="仿宋_GB2312" w:cs="仿宋"/>
          <w:color w:val="000000"/>
          <w:kern w:val="0"/>
          <w:sz w:val="32"/>
          <w:szCs w:val="32"/>
          <w:lang w:val="en-US" w:eastAsia="zh-CN" w:bidi="ar-SA"/>
        </w:rPr>
        <w:t>专项资金执行率为100%。</w:t>
      </w:r>
      <w:bookmarkEnd w:id="114"/>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项目绩效目标</w:t>
      </w:r>
    </w:p>
    <w:p>
      <w:pPr>
        <w:pStyle w:val="2"/>
        <w:ind w:firstLine="560"/>
      </w:pPr>
      <w:r>
        <w:rPr>
          <w:rFonts w:hint="eastAsia"/>
        </w:rPr>
        <w:t>项目共完成了四川省</w:t>
      </w:r>
      <w:r>
        <w:rPr>
          <w:lang w:val="zh-CN"/>
        </w:rPr>
        <w:t>9个市（州）共383个地块、2个区域土壤背景点、14个化工园样品采集及承担区域内土壤样品的粗制工作</w:t>
      </w:r>
      <w:r>
        <w:rPr>
          <w:rFonts w:hint="eastAsia"/>
          <w:lang w:val="zh-CN"/>
        </w:rPr>
        <w:t>，项目数量指标、质量指标、经济指标、社会效益等指标均达到预期目标。</w:t>
      </w:r>
    </w:p>
    <w:p>
      <w:pPr>
        <w:pStyle w:val="2"/>
        <w:snapToGrid w:val="0"/>
        <w:spacing w:line="600" w:lineRule="exact"/>
        <w:ind w:firstLine="562"/>
        <w:rPr>
          <w:rFonts w:ascii="宋体" w:hAnsi="宋体"/>
          <w:b/>
          <w:bCs/>
        </w:rPr>
      </w:pPr>
      <w:r>
        <w:rPr>
          <w:rFonts w:hint="eastAsia" w:ascii="黑体" w:hAnsi="黑体" w:eastAsia="黑体" w:cs="黑体"/>
          <w:b/>
          <w:bCs/>
        </w:rPr>
        <w:t>二、评价工作开展情况</w:t>
      </w:r>
    </w:p>
    <w:p>
      <w:pPr>
        <w:numPr>
          <w:ilvl w:val="0"/>
          <w:numId w:val="8"/>
        </w:numPr>
        <w:adjustRightInd w:val="0"/>
        <w:snapToGrid w:val="0"/>
        <w:spacing w:line="580" w:lineRule="exact"/>
        <w:ind w:firstLine="720"/>
        <w:rPr>
          <w:rFonts w:ascii="楷体_GB2312" w:hAnsi="宋体" w:eastAsia="楷体_GB2312"/>
          <w:b/>
          <w:sz w:val="28"/>
          <w:szCs w:val="36"/>
        </w:rPr>
      </w:pPr>
      <w:bookmarkStart w:id="115" w:name="_Hlk75349613"/>
      <w:r>
        <w:rPr>
          <w:rFonts w:hint="eastAsia" w:ascii="楷体_GB2312" w:hAnsi="宋体" w:eastAsia="楷体_GB2312"/>
          <w:b/>
          <w:sz w:val="28"/>
          <w:szCs w:val="36"/>
        </w:rPr>
        <w:t>组织情况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财政部门的相关要求，我单位高度重视，结合绩效管理系统评分表设置的评价指标体系，运用一定的量化指标及评价标准，由项目经理组织相关人员认真组织本项目支出绩效自评，对单位所确定的绩效目标的实现程度、预算的执行结果进行综合性评价。</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指标体系</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绩效评价指标主要包括通用指标、共性指标、特性指标3个一级指标。</w:t>
      </w:r>
    </w:p>
    <w:p>
      <w:pPr>
        <w:pStyle w:val="2"/>
        <w:numPr>
          <w:ilvl w:val="0"/>
          <w:numId w:val="0"/>
        </w:numPr>
        <w:ind w:firstLine="640" w:firstLineChars="0"/>
        <w:rPr>
          <w:rFonts w:hint="eastAsia" w:ascii="仿宋_GB2312" w:hAnsi="Calibri" w:eastAsia="仿宋_GB2312" w:cs="仿宋"/>
          <w:color w:val="000000"/>
          <w:kern w:val="0"/>
          <w:sz w:val="32"/>
          <w:szCs w:val="32"/>
          <w:lang w:val="en-US" w:eastAsia="zh-CN" w:bidi="ar-SA"/>
        </w:rPr>
      </w:pPr>
      <w:bookmarkStart w:id="116" w:name="_Hlk75352124"/>
      <w:r>
        <w:rPr>
          <w:rFonts w:hint="eastAsia" w:ascii="仿宋_GB2312" w:hAnsi="Calibri" w:eastAsia="仿宋_GB2312" w:cs="仿宋"/>
          <w:color w:val="000000"/>
          <w:kern w:val="0"/>
          <w:sz w:val="32"/>
          <w:szCs w:val="32"/>
          <w:lang w:val="en-US" w:eastAsia="zh-CN" w:bidi="ar-SA"/>
        </w:rPr>
        <w:t>绩效评价指标主要包括完成指标、效益指标、满意度指标3个一级指标。</w:t>
      </w:r>
    </w:p>
    <w:p>
      <w:pPr>
        <w:pStyle w:val="2"/>
        <w:numPr>
          <w:ilvl w:val="0"/>
          <w:numId w:val="0"/>
        </w:numPr>
        <w:ind w:firstLine="640" w:firstLineChars="0"/>
      </w:pPr>
      <w:r>
        <w:rPr>
          <w:rFonts w:hint="eastAsia" w:ascii="仿宋_GB2312" w:hAnsi="Calibri" w:eastAsia="仿宋_GB2312" w:cs="仿宋"/>
          <w:color w:val="000000"/>
          <w:kern w:val="0"/>
          <w:sz w:val="32"/>
          <w:szCs w:val="32"/>
          <w:lang w:val="en-US" w:eastAsia="zh-CN" w:bidi="ar-SA"/>
        </w:rPr>
        <w:t>完成指标下设：数量指标（完成重点行业企业用地调查土壤及地下水采样、制样分析、质控、数据上报等指标数量）、质量</w:t>
      </w:r>
      <w:r>
        <w:rPr>
          <w:rFonts w:hint="eastAsia"/>
        </w:rPr>
        <w:t>指标（调查数据通过国家质量审核）、时效指标（完成2</w:t>
      </w:r>
      <w:r>
        <w:t>020</w:t>
      </w:r>
      <w:r>
        <w:rPr>
          <w:rFonts w:hint="eastAsia"/>
        </w:rPr>
        <w:t>年度工作计划时间）、成本指标（项目实施未超出预算）</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效益指标下设：经济效益指标（重点行业企业用地调查项目经济效益）、社会效益指标（污染地块安全利用率）生态效益指标（调查范围内土壤风险防患防控率）、可持续影响指标（掌握重点行业企业用地基本情况）</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满意度指标下设：满意度指标（详查数据服务对象满意度）</w:t>
      </w:r>
      <w:r>
        <w:t>1</w:t>
      </w:r>
      <w:r>
        <w:rPr>
          <w:rFonts w:hint="eastAsia"/>
        </w:rPr>
        <w:t>个二级指标（</w:t>
      </w:r>
      <w:r>
        <w:t>1</w:t>
      </w:r>
      <w:r>
        <w:rPr>
          <w:rFonts w:hint="eastAsia"/>
        </w:rPr>
        <w:t>个三级指标）。</w:t>
      </w:r>
    </w:p>
    <w:bookmarkEnd w:id="116"/>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评价方法</w:t>
      </w:r>
    </w:p>
    <w:p>
      <w:pPr>
        <w:pStyle w:val="2"/>
        <w:ind w:firstLine="560"/>
        <w:rPr>
          <w:rFonts w:hint="eastAsia" w:ascii="仿宋_GB2312" w:hAnsi="Calibri" w:eastAsia="仿宋_GB2312" w:cs="仿宋"/>
          <w:color w:val="000000"/>
          <w:kern w:val="0"/>
          <w:sz w:val="32"/>
          <w:szCs w:val="32"/>
          <w:lang w:val="en-US" w:eastAsia="zh-CN" w:bidi="ar-SA"/>
        </w:rPr>
      </w:pPr>
      <w:bookmarkStart w:id="117" w:name="_Hlk75352209"/>
      <w:bookmarkStart w:id="118" w:name="_Hlk75352195"/>
      <w:r>
        <w:rPr>
          <w:rFonts w:hint="eastAsia" w:ascii="仿宋_GB2312" w:hAnsi="Calibri" w:eastAsia="仿宋_GB2312" w:cs="仿宋"/>
          <w:color w:val="000000"/>
          <w:kern w:val="0"/>
          <w:sz w:val="32"/>
          <w:szCs w:val="32"/>
          <w:lang w:val="en-US" w:eastAsia="zh-CN" w:bidi="ar-SA"/>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价中的总体目标和各项绩效指标逐项进行评价分析。</w:t>
      </w:r>
    </w:p>
    <w:bookmarkEnd w:id="117"/>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自评价得分总分根据自评价表设定的各项指标得分汇总形成。</w:t>
      </w:r>
      <w:bookmarkEnd w:id="118"/>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评分标准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次绩效评价采用百分制，各级指标依据其指标权重确定分值，最终得分由各级评价指标得分加总形成。根据最终得分将评价标准分为四个等级：优（得分≥90分）；良（80分≤得分＜90分）；中（60≤得分＜80分）；差（得分＜60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bookmarkEnd w:id="115"/>
    <w:p>
      <w:pPr>
        <w:pStyle w:val="24"/>
        <w:numPr>
          <w:ilvl w:val="0"/>
          <w:numId w:val="9"/>
        </w:numPr>
        <w:snapToGrid w:val="0"/>
        <w:spacing w:line="600" w:lineRule="exact"/>
        <w:ind w:firstLine="198"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综合评价结论</w:t>
      </w:r>
    </w:p>
    <w:p>
      <w:pPr>
        <w:pStyle w:val="2"/>
        <w:ind w:firstLine="560"/>
        <w:rPr>
          <w:rFonts w:hint="eastAsia" w:ascii="仿宋_GB2312" w:hAnsi="Calibri" w:eastAsia="仿宋_GB2312" w:cs="仿宋"/>
          <w:color w:val="000000"/>
          <w:kern w:val="0"/>
          <w:sz w:val="32"/>
          <w:szCs w:val="32"/>
          <w:lang w:val="en-US" w:eastAsia="zh-CN" w:bidi="ar-SA"/>
        </w:rPr>
      </w:pPr>
      <w:bookmarkStart w:id="119" w:name="_Hlk75352318"/>
      <w:r>
        <w:rPr>
          <w:rFonts w:hint="eastAsia" w:ascii="仿宋_GB2312" w:hAnsi="Calibri" w:eastAsia="仿宋_GB2312" w:cs="仿宋"/>
          <w:color w:val="000000"/>
          <w:kern w:val="0"/>
          <w:sz w:val="32"/>
          <w:szCs w:val="32"/>
          <w:lang w:val="en-US" w:eastAsia="zh-CN" w:bidi="ar-SA"/>
        </w:rPr>
        <w:t>本项目综合评分为95分（见表1），评级为优。</w:t>
      </w:r>
    </w:p>
    <w:bookmarkEnd w:id="119"/>
    <w:p>
      <w:pPr>
        <w:pStyle w:val="2"/>
        <w:spacing w:line="600" w:lineRule="exact"/>
        <w:rPr>
          <w:rFonts w:hint="eastAsia" w:ascii="仿宋_GB2312" w:hAnsi="Calibri" w:eastAsia="仿宋_GB2312" w:cs="仿宋"/>
          <w:color w:val="000000"/>
          <w:kern w:val="0"/>
          <w:sz w:val="32"/>
          <w:szCs w:val="32"/>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pPr>
      <w:r>
        <w:rPr>
          <w:rFonts w:hint="eastAsia" w:ascii="黑体" w:hAnsi="宋体" w:eastAsia="黑体"/>
          <w:sz w:val="28"/>
          <w:szCs w:val="22"/>
        </w:rPr>
        <w:t>表1  评分表</w:t>
      </w:r>
    </w:p>
    <w:p>
      <w:pPr>
        <w:pStyle w:val="2"/>
        <w:spacing w:line="600" w:lineRule="exact"/>
        <w:rPr>
          <w:rFonts w:ascii="仿宋_GB2312" w:hAnsi="宋体"/>
          <w:sz w:val="32"/>
          <w:szCs w:val="32"/>
        </w:rPr>
      </w:pP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286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423"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940"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940"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bookmarkStart w:id="120" w:name="_Hlk75351359"/>
            <w:r>
              <w:rPr>
                <w:rFonts w:hint="eastAsia"/>
              </w:rPr>
              <w:t>完成重点行业企业用地调查土壤及地下水采样、制样、工业园区采样等地块数量</w:t>
            </w:r>
            <w:bookmarkEnd w:id="120"/>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1" w:name="_Hlk75351379"/>
            <w:r>
              <w:rPr>
                <w:rFonts w:hint="eastAsia"/>
              </w:rPr>
              <w:t>质量指标</w:t>
            </w:r>
            <w:bookmarkEnd w:id="121"/>
          </w:p>
        </w:tc>
        <w:tc>
          <w:tcPr>
            <w:tcW w:w="4253" w:type="dxa"/>
          </w:tcPr>
          <w:p>
            <w:pPr>
              <w:pStyle w:val="2"/>
              <w:spacing w:line="240" w:lineRule="auto"/>
              <w:ind w:firstLine="0" w:firstLineChars="0"/>
              <w:jc w:val="center"/>
              <w:rPr>
                <w:rFonts w:ascii="仿宋_GB2312" w:hAnsi="宋体"/>
                <w:b/>
                <w:bCs/>
                <w:sz w:val="24"/>
                <w:szCs w:val="24"/>
              </w:rPr>
            </w:pPr>
            <w:bookmarkStart w:id="122" w:name="_Hlk75351387"/>
            <w:r>
              <w:rPr>
                <w:rFonts w:hint="eastAsia"/>
              </w:rPr>
              <w:t>调查数据通过国家质量审核</w:t>
            </w:r>
            <w:bookmarkEnd w:id="122"/>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3" w:name="_Hlk75351402"/>
            <w:r>
              <w:rPr>
                <w:rFonts w:hint="eastAsia"/>
              </w:rPr>
              <w:t>时效指标</w:t>
            </w:r>
            <w:bookmarkEnd w:id="123"/>
          </w:p>
        </w:tc>
        <w:tc>
          <w:tcPr>
            <w:tcW w:w="4253" w:type="dxa"/>
          </w:tcPr>
          <w:p>
            <w:pPr>
              <w:pStyle w:val="2"/>
              <w:spacing w:line="240" w:lineRule="auto"/>
              <w:ind w:firstLine="0" w:firstLineChars="0"/>
              <w:jc w:val="center"/>
              <w:rPr>
                <w:rFonts w:ascii="仿宋_GB2312" w:hAnsi="宋体"/>
                <w:b/>
                <w:bCs/>
                <w:sz w:val="24"/>
                <w:szCs w:val="24"/>
              </w:rPr>
            </w:pPr>
            <w:bookmarkStart w:id="124" w:name="_Hlk75351409"/>
            <w:r>
              <w:rPr>
                <w:rFonts w:hint="eastAsia"/>
              </w:rPr>
              <w:t>完成2</w:t>
            </w:r>
            <w:r>
              <w:t>020</w:t>
            </w:r>
            <w:r>
              <w:rPr>
                <w:rFonts w:hint="eastAsia"/>
              </w:rPr>
              <w:t>年度工作计划时间</w:t>
            </w:r>
            <w:bookmarkEnd w:id="124"/>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5" w:name="_Hlk75351416"/>
            <w:r>
              <w:rPr>
                <w:rFonts w:hint="eastAsia"/>
              </w:rPr>
              <w:t>成本指标</w:t>
            </w:r>
            <w:bookmarkEnd w:id="125"/>
          </w:p>
        </w:tc>
        <w:tc>
          <w:tcPr>
            <w:tcW w:w="4253" w:type="dxa"/>
          </w:tcPr>
          <w:p>
            <w:pPr>
              <w:pStyle w:val="2"/>
              <w:spacing w:line="240" w:lineRule="auto"/>
              <w:ind w:firstLine="0" w:firstLineChars="0"/>
              <w:jc w:val="center"/>
            </w:pPr>
            <w:bookmarkStart w:id="126" w:name="_Hlk75351426"/>
            <w:r>
              <w:rPr>
                <w:rFonts w:hint="eastAsia"/>
              </w:rPr>
              <w:t>项目实施未超出预算</w:t>
            </w:r>
            <w:bookmarkEnd w:id="126"/>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pPr>
            <w:r>
              <w:rPr>
                <w:rFonts w:hint="eastAsia"/>
              </w:rPr>
              <w:t>0-否 1-是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1-4</w:t>
            </w:r>
            <w:r>
              <w:rPr>
                <w:rFonts w:hint="eastAsia" w:ascii="仿宋_GB2312" w:hAnsi="宋体"/>
                <w:szCs w:val="24"/>
              </w:rPr>
              <w:t xml:space="preserve">-不满意 </w:t>
            </w:r>
            <w:r>
              <w:rPr>
                <w:rFonts w:ascii="仿宋_GB2312" w:hAnsi="宋体"/>
                <w:szCs w:val="24"/>
              </w:rPr>
              <w:t>5-9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8</w:t>
            </w:r>
          </w:p>
        </w:tc>
      </w:tr>
    </w:tbl>
    <w:p>
      <w:pPr>
        <w:spacing w:line="600" w:lineRule="exact"/>
        <w:rPr>
          <w:rFonts w:ascii="仿宋_GB2312" w:hAnsi="宋体"/>
          <w:sz w:val="32"/>
        </w:rPr>
        <w:sectPr>
          <w:pgSz w:w="16838" w:h="11906" w:orient="landscape"/>
          <w:pgMar w:top="1800" w:right="1440" w:bottom="1800" w:left="1440" w:header="851" w:footer="992" w:gutter="0"/>
          <w:pgNumType w:fmt="decimal"/>
          <w:cols w:space="425" w:num="1"/>
          <w:docGrid w:type="lines" w:linePitch="312" w:charSpace="0"/>
        </w:sectPr>
      </w:pPr>
    </w:p>
    <w:p>
      <w:pPr>
        <w:snapToGrid w:val="0"/>
        <w:spacing w:line="600" w:lineRule="exact"/>
        <w:ind w:firstLine="560" w:firstLineChars="200"/>
        <w:rPr>
          <w:rFonts w:ascii="黑体" w:hAnsi="黑体" w:eastAsia="黑体" w:cs="黑体"/>
          <w:bCs/>
          <w:sz w:val="28"/>
          <w:szCs w:val="22"/>
        </w:rPr>
      </w:pPr>
      <w:r>
        <w:rPr>
          <w:rFonts w:hint="eastAsia" w:ascii="黑体" w:hAnsi="黑体" w:eastAsia="黑体" w:cs="黑体"/>
          <w:bCs/>
          <w:sz w:val="28"/>
          <w:szCs w:val="22"/>
        </w:rPr>
        <w:t>四、绩效评价分析</w:t>
      </w:r>
    </w:p>
    <w:p>
      <w:pPr>
        <w:snapToGrid w:val="0"/>
        <w:spacing w:line="600" w:lineRule="exact"/>
        <w:ind w:firstLine="562" w:firstLineChars="200"/>
        <w:rPr>
          <w:rFonts w:ascii="楷体_GB2312" w:hAnsi="宋体" w:eastAsia="楷体_GB2312"/>
          <w:b/>
          <w:sz w:val="28"/>
          <w:szCs w:val="22"/>
        </w:rPr>
      </w:pPr>
      <w:bookmarkStart w:id="127" w:name="_Hlk75354332"/>
      <w:r>
        <w:rPr>
          <w:rFonts w:hint="eastAsia" w:ascii="楷体_GB2312" w:hAnsi="宋体" w:eastAsia="楷体_GB2312"/>
          <w:b/>
          <w:sz w:val="28"/>
          <w:szCs w:val="22"/>
        </w:rPr>
        <w:t>（一）项目决策情况</w:t>
      </w:r>
    </w:p>
    <w:bookmarkEnd w:id="127"/>
    <w:p>
      <w:pPr>
        <w:pStyle w:val="2"/>
        <w:ind w:firstLine="560"/>
        <w:rPr>
          <w:rFonts w:hint="eastAsia" w:ascii="仿宋_GB2312" w:hAnsi="Calibri" w:eastAsia="仿宋_GB2312" w:cs="仿宋"/>
          <w:color w:val="000000"/>
          <w:kern w:val="0"/>
          <w:sz w:val="32"/>
          <w:szCs w:val="32"/>
          <w:lang w:val="en-US" w:eastAsia="zh-CN" w:bidi="ar-SA"/>
        </w:rPr>
      </w:pPr>
      <w:bookmarkStart w:id="128" w:name="_Hlk75440025"/>
      <w:r>
        <w:rPr>
          <w:rFonts w:hint="eastAsia" w:ascii="仿宋_GB2312" w:hAnsi="Calibri" w:eastAsia="仿宋_GB2312" w:cs="仿宋"/>
          <w:color w:val="000000"/>
          <w:kern w:val="0"/>
          <w:sz w:val="32"/>
          <w:szCs w:val="32"/>
          <w:lang w:val="en-US" w:eastAsia="zh-CN" w:bidi="ar-SA"/>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bookmarkEnd w:id="128"/>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项目管理情况</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为加强项目管理，保证项目工作顺利开展，保质保量按期完成项目工作，</w:t>
      </w:r>
      <w:r>
        <w:rPr>
          <w:rFonts w:hint="eastAsia" w:ascii="仿宋_GB2312" w:hAnsi="Calibri" w:eastAsia="仿宋_GB2312" w:cs="仿宋"/>
          <w:color w:val="000000"/>
          <w:kern w:val="0"/>
          <w:sz w:val="32"/>
          <w:szCs w:val="32"/>
          <w:lang w:val="en-US" w:eastAsia="zh-CN" w:bidi="ar-SA"/>
        </w:rPr>
        <w:t>我单位成立</w:t>
      </w:r>
      <w:r>
        <w:rPr>
          <w:rFonts w:hint="eastAsia" w:ascii="仿宋_GB2312" w:hAnsi="Calibri" w:eastAsia="仿宋_GB2312" w:cs="仿宋"/>
          <w:color w:val="000000"/>
          <w:kern w:val="0"/>
          <w:sz w:val="32"/>
          <w:szCs w:val="32"/>
          <w:lang w:val="zh-CN" w:eastAsia="zh-CN" w:bidi="ar-SA"/>
        </w:rPr>
        <w:t>了</w:t>
      </w:r>
      <w:r>
        <w:rPr>
          <w:rFonts w:hint="eastAsia" w:ascii="仿宋_GB2312" w:hAnsi="Calibri" w:eastAsia="仿宋_GB2312" w:cs="仿宋"/>
          <w:color w:val="000000"/>
          <w:kern w:val="0"/>
          <w:sz w:val="32"/>
          <w:szCs w:val="32"/>
          <w:lang w:val="en-US" w:eastAsia="zh-CN" w:bidi="ar-SA"/>
        </w:rPr>
        <w:t>项目经理部，</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w:t>
      </w:r>
      <w:r>
        <w:rPr>
          <w:rFonts w:hint="eastAsia" w:ascii="仿宋_GB2312" w:hAnsi="Calibri" w:eastAsia="仿宋_GB2312" w:cs="仿宋"/>
          <w:color w:val="000000"/>
          <w:kern w:val="0"/>
          <w:sz w:val="32"/>
          <w:szCs w:val="32"/>
          <w:lang w:val="zh-CN" w:eastAsia="zh-CN" w:bidi="ar-SA"/>
        </w:rPr>
        <w:t>下设：</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小组、质控小组、</w:t>
      </w: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小组负责</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具体实施；</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质控小组负责项目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质量管理、质量监控</w:t>
      </w:r>
      <w:r>
        <w:rPr>
          <w:rFonts w:hint="eastAsia" w:ascii="仿宋_GB2312" w:hAnsi="Calibri" w:eastAsia="仿宋_GB2312" w:cs="仿宋"/>
          <w:color w:val="000000"/>
          <w:kern w:val="0"/>
          <w:sz w:val="32"/>
          <w:szCs w:val="32"/>
          <w:lang w:val="en-US" w:eastAsia="zh-CN" w:bidi="ar-SA"/>
        </w:rPr>
        <w:t>;</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负责项目</w:t>
      </w:r>
      <w:r>
        <w:rPr>
          <w:rFonts w:hint="eastAsia" w:ascii="仿宋_GB2312" w:hAnsi="Calibri" w:eastAsia="仿宋_GB2312" w:cs="仿宋"/>
          <w:color w:val="000000"/>
          <w:kern w:val="0"/>
          <w:sz w:val="32"/>
          <w:szCs w:val="32"/>
          <w:lang w:val="en-US" w:eastAsia="zh-CN" w:bidi="ar-SA"/>
        </w:rPr>
        <w:t>样品的粗制样。</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同时，我单位</w:t>
      </w:r>
      <w:r>
        <w:rPr>
          <w:rFonts w:hint="eastAsia" w:ascii="仿宋_GB2312" w:hAnsi="Calibri" w:eastAsia="仿宋_GB2312" w:cs="仿宋"/>
          <w:color w:val="000000"/>
          <w:kern w:val="0"/>
          <w:sz w:val="32"/>
          <w:szCs w:val="32"/>
          <w:lang w:val="zh-CN" w:eastAsia="zh-CN" w:bidi="ar-SA"/>
        </w:rPr>
        <w:t>构建了“采样小组自查—采样单位质控检查”</w:t>
      </w:r>
      <w:r>
        <w:rPr>
          <w:rFonts w:hint="eastAsia" w:ascii="仿宋_GB2312" w:hAnsi="Calibri" w:eastAsia="仿宋_GB2312" w:cs="仿宋"/>
          <w:color w:val="000000"/>
          <w:kern w:val="0"/>
          <w:sz w:val="32"/>
          <w:szCs w:val="32"/>
          <w:lang w:val="en-US" w:eastAsia="zh-CN" w:bidi="ar-SA"/>
        </w:rPr>
        <w:t>的二</w:t>
      </w:r>
      <w:r>
        <w:rPr>
          <w:rFonts w:hint="eastAsia" w:ascii="仿宋_GB2312" w:hAnsi="Calibri" w:eastAsia="仿宋_GB2312" w:cs="仿宋"/>
          <w:color w:val="000000"/>
          <w:kern w:val="0"/>
          <w:sz w:val="32"/>
          <w:szCs w:val="32"/>
          <w:lang w:val="zh-CN" w:eastAsia="zh-CN" w:bidi="ar-SA"/>
        </w:rPr>
        <w:t>级质量管理体系，搭建了“采样小组—质控小组—省质控</w:t>
      </w:r>
      <w:r>
        <w:rPr>
          <w:rFonts w:hint="eastAsia" w:ascii="仿宋_GB2312" w:hAnsi="Calibri" w:eastAsia="仿宋_GB2312" w:cs="仿宋"/>
          <w:color w:val="000000"/>
          <w:kern w:val="0"/>
          <w:sz w:val="32"/>
          <w:szCs w:val="32"/>
          <w:lang w:val="en-US" w:eastAsia="zh-CN" w:bidi="ar-SA"/>
        </w:rPr>
        <w:t>单位</w:t>
      </w:r>
      <w:r>
        <w:rPr>
          <w:rFonts w:hint="eastAsia" w:ascii="仿宋_GB2312" w:hAnsi="Calibri" w:eastAsia="仿宋_GB2312" w:cs="仿宋"/>
          <w:color w:val="000000"/>
          <w:kern w:val="0"/>
          <w:sz w:val="32"/>
          <w:szCs w:val="32"/>
          <w:lang w:val="zh-CN" w:eastAsia="zh-CN" w:bidi="ar-SA"/>
        </w:rPr>
        <w:t>”的沟通桥梁。</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质控小组发现问题及时向技术负责人汇报，同时与采样小组沟通，反馈现场和资料检查中存在的问题，以减少问题的发生，保障采样工作质量，促进工作进度。</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采样小组组长每日及时向</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经理部反馈小组当日工作进度、工作中遇到的问题，</w:t>
      </w:r>
      <w:r>
        <w:rPr>
          <w:rFonts w:hint="eastAsia" w:ascii="仿宋_GB2312" w:hAnsi="Calibri" w:eastAsia="仿宋_GB2312" w:cs="仿宋"/>
          <w:color w:val="000000"/>
          <w:kern w:val="0"/>
          <w:sz w:val="32"/>
          <w:szCs w:val="32"/>
          <w:lang w:val="zh-CN" w:eastAsia="zh-CN" w:bidi="ar-SA"/>
        </w:rPr>
        <w:t>以便于项目</w:t>
      </w:r>
      <w:r>
        <w:rPr>
          <w:rFonts w:hint="eastAsia" w:ascii="仿宋_GB2312" w:hAnsi="Calibri" w:eastAsia="仿宋_GB2312" w:cs="仿宋"/>
          <w:color w:val="000000"/>
          <w:kern w:val="0"/>
          <w:sz w:val="32"/>
          <w:szCs w:val="32"/>
          <w:lang w:val="en-US" w:eastAsia="zh-CN" w:bidi="ar-SA"/>
        </w:rPr>
        <w:t>经理部的</w:t>
      </w:r>
      <w:r>
        <w:rPr>
          <w:rFonts w:hint="eastAsia" w:ascii="仿宋_GB2312" w:hAnsi="Calibri" w:eastAsia="仿宋_GB2312" w:cs="仿宋"/>
          <w:color w:val="000000"/>
          <w:kern w:val="0"/>
          <w:sz w:val="32"/>
          <w:szCs w:val="32"/>
          <w:lang w:val="zh-CN" w:eastAsia="zh-CN" w:bidi="ar-SA"/>
        </w:rPr>
        <w:t>统一组织、协调、管理。</w:t>
      </w:r>
    </w:p>
    <w:p>
      <w:pPr>
        <w:pStyle w:val="2"/>
        <w:ind w:firstLine="560"/>
        <w:rPr>
          <w:rFonts w:ascii="仿宋_GB2312" w:hAnsi="宋体"/>
          <w:szCs w:val="32"/>
        </w:rPr>
      </w:pPr>
      <w:r>
        <w:rPr>
          <w:rFonts w:hint="eastAsia" w:ascii="仿宋_GB2312" w:hAnsi="Calibri" w:eastAsia="仿宋_GB2312" w:cs="仿宋"/>
          <w:color w:val="000000"/>
          <w:kern w:val="0"/>
          <w:sz w:val="32"/>
          <w:szCs w:val="32"/>
          <w:lang w:val="en-US" w:eastAsia="zh-CN" w:bidi="ar-SA"/>
        </w:rPr>
        <w:t>项目资金管理方面，建立“四川省重点行业企业用地调查采样项目”专项资金管理制度，严格做到资金的专款专用。所有项目经费支出凭正式发票或符合规定的其他付款凭据，经项目经办人签字、项目负责人签字、主管领导会签、单位领导审批签字后报销支出，财务部根据审批情况进行款项支付和会计核算。确保了本项目的专款专用，无超预算、无预算支出、无超范围、超标准支出。项目过程中不断增强和落实绩效管理责任，完善工作机制，有效提高了专项资金管理水平和使用效益。</w:t>
      </w:r>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项目产出情况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项目共完成383个地块、2个区域土壤背景点、14个化工园样品采集工作及承担区域内土壤样品的粗制工作。</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单位承担的重点行业企业用地调查采样工作，严格按照《采样技术规定》、《质控技术规定》等规范执行，钻进工作方法正确、采样位置合理、采样规范、样品真实有效；质量管理体系完善且运行良好，质量监督检查组认真负责，保障了工作质量。通过近五个月的时间，圆满地完成了四川省重点行业企业用地调查采样任务。</w:t>
      </w:r>
    </w:p>
    <w:p>
      <w:pPr>
        <w:pStyle w:val="2"/>
        <w:rPr>
          <w:rFonts w:hint="eastAsia"/>
          <w:lang w:val="en-US" w:eastAsia="zh-CN"/>
        </w:rPr>
      </w:pPr>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项目效益情况</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数量指标</w:t>
      </w:r>
      <w:r>
        <w:rPr>
          <w:rFonts w:hint="eastAsia" w:hAnsi="Calibri" w:cs="仿宋"/>
          <w:color w:val="000000"/>
          <w:kern w:val="0"/>
          <w:sz w:val="32"/>
          <w:szCs w:val="32"/>
          <w:lang w:val="zh-CN" w:eastAsia="zh-CN" w:bidi="ar-SA"/>
        </w:rPr>
        <w:t>：</w:t>
      </w:r>
      <w:r>
        <w:rPr>
          <w:rFonts w:hint="eastAsia" w:ascii="仿宋_GB2312" w:hAnsi="Calibri" w:eastAsia="仿宋_GB2312" w:cs="仿宋"/>
          <w:color w:val="000000"/>
          <w:kern w:val="0"/>
          <w:sz w:val="32"/>
          <w:szCs w:val="32"/>
          <w:lang w:val="zh-CN" w:eastAsia="zh-CN" w:bidi="ar-SA"/>
        </w:rPr>
        <w:t>项目共完成383个地块、2个区域土壤背景点、14个化工园样品采集工作及承担区域内土壤样品的粗制工作，</w:t>
      </w:r>
      <w:r>
        <w:rPr>
          <w:rFonts w:hint="eastAsia" w:ascii="仿宋_GB2312" w:hAnsi="Calibri" w:eastAsia="仿宋_GB2312" w:cs="仿宋"/>
          <w:color w:val="000000"/>
          <w:kern w:val="0"/>
          <w:sz w:val="32"/>
          <w:szCs w:val="32"/>
          <w:lang w:val="en-US" w:eastAsia="zh-CN" w:bidi="ar-SA"/>
        </w:rPr>
        <w:t>共计1999个土壤采样点、1021个地下水采样点，共完成样品采集12700份（分别是：土壤样品9712组，地下水样品2988组；实际采样组数根据地层情况、是否有污染痕迹等情况调整，空白样单独统计组数，因此采样点位与任务组数有一定差别）。</w:t>
      </w:r>
    </w:p>
    <w:p>
      <w:pPr>
        <w:pStyle w:val="2"/>
        <w:numPr>
          <w:ilvl w:val="0"/>
          <w:numId w:val="11"/>
        </w:numPr>
        <w:ind w:firstLine="560"/>
        <w:rPr>
          <w:lang w:val="zh-CN"/>
        </w:rPr>
      </w:pPr>
      <w:r>
        <w:rPr>
          <w:rFonts w:hint="eastAsia" w:ascii="仿宋_GB2312" w:hAnsi="Calibri" w:eastAsia="仿宋_GB2312" w:cs="仿宋"/>
          <w:color w:val="000000"/>
          <w:kern w:val="0"/>
          <w:sz w:val="32"/>
          <w:szCs w:val="32"/>
          <w:lang w:val="en-US" w:eastAsia="zh-CN" w:bidi="ar-SA"/>
        </w:rPr>
        <w:t>质量</w:t>
      </w:r>
      <w:r>
        <w:rPr>
          <w:rFonts w:hint="eastAsia" w:ascii="仿宋_GB2312" w:hAnsi="Calibri" w:eastAsia="仿宋_GB2312" w:cs="仿宋"/>
          <w:color w:val="000000"/>
          <w:kern w:val="0"/>
          <w:sz w:val="32"/>
          <w:szCs w:val="32"/>
          <w:lang w:val="zh-CN" w:eastAsia="zh-CN" w:bidi="ar-SA"/>
        </w:rPr>
        <w:t>指标</w:t>
      </w:r>
      <w:r>
        <w:rPr>
          <w:rFonts w:hint="eastAsia" w:hAnsi="Calibri" w:cs="仿宋"/>
          <w:color w:val="000000"/>
          <w:kern w:val="0"/>
          <w:sz w:val="32"/>
          <w:szCs w:val="32"/>
          <w:lang w:val="zh-CN" w:eastAsia="zh-CN" w:bidi="ar-SA"/>
        </w:rPr>
        <w:t>：</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严格按照</w:t>
      </w:r>
      <w:r>
        <w:rPr>
          <w:rFonts w:hint="eastAsia" w:ascii="仿宋_GB2312" w:hAnsi="Calibri" w:eastAsia="仿宋_GB2312" w:cs="仿宋"/>
          <w:color w:val="000000"/>
          <w:kern w:val="0"/>
          <w:sz w:val="32"/>
          <w:szCs w:val="32"/>
          <w:lang w:val="zh-CN" w:eastAsia="zh-CN" w:bidi="ar-SA"/>
        </w:rPr>
        <w:t>国家技术要求完成采样工作，通过</w:t>
      </w:r>
      <w:r>
        <w:rPr>
          <w:rFonts w:hint="eastAsia" w:ascii="仿宋_GB2312" w:hAnsi="Calibri" w:eastAsia="仿宋_GB2312" w:cs="仿宋"/>
          <w:color w:val="000000"/>
          <w:kern w:val="0"/>
          <w:sz w:val="32"/>
          <w:szCs w:val="32"/>
          <w:lang w:val="en-US" w:eastAsia="zh-CN" w:bidi="ar-SA"/>
        </w:rPr>
        <w:t>了省级质控（四川省生态环境监测站）、国家质控（国家详查办）组织的各次质量检查。</w:t>
      </w:r>
    </w:p>
    <w:p>
      <w:pPr>
        <w:pStyle w:val="2"/>
        <w:numPr>
          <w:ilvl w:val="0"/>
          <w:numId w:val="11"/>
        </w:numPr>
        <w:ind w:firstLine="560"/>
      </w:pPr>
      <w:r>
        <w:rPr>
          <w:rFonts w:hint="eastAsia"/>
        </w:rPr>
        <w:t>时效</w:t>
      </w:r>
      <w:r>
        <w:rPr>
          <w:rFonts w:hint="eastAsia"/>
          <w:lang w:val="zh-CN"/>
        </w:rPr>
        <w:t>指标：</w:t>
      </w:r>
      <w:r>
        <w:rPr>
          <w:rFonts w:hint="eastAsia"/>
        </w:rPr>
        <w:t>已于2020年8月23日全面完成野外采样及样品粗制工作。省厅最初下达完成时间为2</w:t>
      </w:r>
      <w:r>
        <w:t>020</w:t>
      </w:r>
      <w:r>
        <w:rPr>
          <w:rFonts w:hint="eastAsia"/>
        </w:rPr>
        <w:t>年8月1日前，后因实际工作进展延迟到8月3</w:t>
      </w:r>
      <w:r>
        <w:t>1</w:t>
      </w:r>
      <w:r>
        <w:rPr>
          <w:rFonts w:hint="eastAsia"/>
        </w:rPr>
        <w:t>日前完成重点行业用地调查项目。</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成本指标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截止2020年9月，使用资金1299万元，专项资金执行率为100%。</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经济效益指标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推进建设用地准入管理，指导实施土壤污染分类别、分用途、分阶段治理，有利于相关部门加强土壤环境污染防治和风险管控。</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已根据调查成果建立了全省重点行业企业用地疑似污染地块清单、污染地块清单和优先管控名录。</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生态效益指标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根据调查成果，有利于加强污染地块管控，防止企业用地环境恶化。</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可持续影响指标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重点行业企业用地调查工作已有序开展完成。</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满意度指标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通过已通过省级抽查，合格率100%，四川省生态环境厅满意度较高。</w:t>
      </w:r>
    </w:p>
    <w:p>
      <w:pPr>
        <w:numPr>
          <w:ilvl w:val="0"/>
          <w:numId w:val="12"/>
        </w:numPr>
        <w:snapToGrid w:val="0"/>
        <w:spacing w:line="600" w:lineRule="exact"/>
        <w:ind w:firstLine="560" w:firstLineChars="200"/>
        <w:rPr>
          <w:rFonts w:ascii="黑体" w:hAnsi="宋体" w:eastAsia="黑体"/>
          <w:sz w:val="28"/>
          <w:szCs w:val="22"/>
        </w:rPr>
      </w:pPr>
      <w:r>
        <w:rPr>
          <w:rFonts w:hint="eastAsia" w:ascii="黑体" w:hAnsi="宋体" w:eastAsia="黑体"/>
          <w:sz w:val="28"/>
          <w:szCs w:val="22"/>
        </w:rPr>
        <w:t>存在主要问题</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因新冠疫情影响，原采样启动计划被迫延迟，但生态环境部仍要求按原计划完成采样，因此为确保采样工作的按期、保质完成，在组织采样过程中增加了采样人员的投入，存在人员费用增加的风险。</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采样点位布设工作由各市州环保局自行通过公开招标的方式委托相关单位开展。部分点位的布设，未考虑到采样施工时是否具备一定的采样条件，以及部分点位存在因地块资料缺失对地层判断的误差，导致点位的调整、采样组数的增加，间接导致一定的采样成本增加。</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部分地市州，如成都市、绵阳市等，存在砂卵石层，清水回转钻进方式钻进速度较慢，导致地下水建井工作的进度较慢，一定程度上增加了采样工作成本。</w:t>
      </w:r>
    </w:p>
    <w:p>
      <w:pPr>
        <w:numPr>
          <w:ilvl w:val="0"/>
          <w:numId w:val="12"/>
        </w:numPr>
        <w:snapToGrid w:val="0"/>
        <w:spacing w:line="600" w:lineRule="exact"/>
        <w:ind w:firstLine="560" w:firstLineChars="200"/>
        <w:rPr>
          <w:rFonts w:ascii="黑体" w:hAnsi="宋体" w:eastAsia="黑体"/>
          <w:sz w:val="28"/>
          <w:szCs w:val="22"/>
        </w:rPr>
      </w:pPr>
      <w:r>
        <w:rPr>
          <w:rFonts w:hint="eastAsia" w:ascii="黑体" w:hAnsi="宋体" w:eastAsia="黑体"/>
          <w:sz w:val="28"/>
          <w:szCs w:val="22"/>
        </w:rPr>
        <w:t>相关措施建议</w:t>
      </w:r>
    </w:p>
    <w:p>
      <w:pPr>
        <w:pStyle w:val="2"/>
        <w:spacing w:beforeLines="-2147483648" w:line="360" w:lineRule="auto"/>
        <w:ind w:firstLine="560" w:firstLineChars="200"/>
        <w:rPr>
          <w:rFonts w:hint="eastAsia" w:ascii="Times New Roman" w:hAnsi="Times New Roman" w:cs="Times New Roman"/>
          <w:kern w:val="2"/>
          <w:sz w:val="28"/>
          <w:szCs w:val="22"/>
          <w:lang w:val="en-US" w:eastAsia="zh-CN"/>
        </w:rPr>
      </w:pPr>
      <w:r>
        <w:rPr>
          <w:rFonts w:hint="eastAsia" w:ascii="Times New Roman" w:hAnsi="Times New Roman" w:cs="Times New Roman"/>
          <w:kern w:val="2"/>
          <w:sz w:val="28"/>
          <w:szCs w:val="22"/>
          <w:lang w:val="en-US" w:eastAsia="zh-CN"/>
        </w:rPr>
        <w:t xml:space="preserve">通过制定科学、合理的采样方案，合理安排采样工序，并积极探索新的采样工艺，缩短采样工期，确保按期完成采样任务，并降低采样成本。 </w:t>
      </w:r>
    </w:p>
    <w:p>
      <w:pPr>
        <w:rPr>
          <w:rFonts w:hint="eastAsia"/>
          <w:lang w:val="en-US" w:eastAsia="zh-CN"/>
        </w:rPr>
      </w:pPr>
      <w:r>
        <w:rPr>
          <w:rFonts w:hint="eastAsia"/>
          <w:lang w:val="en-US" w:eastAsia="zh-CN"/>
        </w:rPr>
        <w:t xml:space="preserve"> </w:t>
      </w:r>
    </w:p>
    <w:p>
      <w:pPr>
        <w:pStyle w:val="2"/>
        <w:jc w:val="right"/>
        <w:rPr>
          <w:rFonts w:hint="eastAsia"/>
          <w:lang w:val="en-US" w:eastAsia="zh-CN"/>
        </w:rPr>
      </w:pPr>
    </w:p>
    <w:p>
      <w:pPr>
        <w:pStyle w:val="2"/>
        <w:jc w:val="right"/>
        <w:rPr>
          <w:rFonts w:hint="eastAsia"/>
          <w:lang w:val="en-US" w:eastAsia="zh-CN"/>
        </w:rPr>
      </w:pPr>
      <w:r>
        <w:rPr>
          <w:rFonts w:hint="eastAsia"/>
          <w:lang w:val="en-US" w:eastAsia="zh-CN"/>
        </w:rPr>
        <w:t>四川省地质矿产勘查开发局</w:t>
      </w:r>
    </w:p>
    <w:p>
      <w:pPr>
        <w:pStyle w:val="2"/>
        <w:jc w:val="right"/>
        <w:rPr>
          <w:rFonts w:hint="eastAsia" w:eastAsia="仿宋_GB2312"/>
          <w:lang w:val="en-US" w:eastAsia="zh-CN"/>
        </w:rPr>
      </w:pPr>
      <w:r>
        <w:rPr>
          <w:rFonts w:hint="eastAsia"/>
          <w:lang w:val="en-US" w:eastAsia="zh-CN"/>
        </w:rPr>
        <w:t>成都水文地质工程地质队</w:t>
      </w: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sz w:val="32"/>
          <w:szCs w:val="32"/>
        </w:rPr>
      </w:pPr>
      <w:r>
        <w:rPr>
          <w:rFonts w:hint="eastAsia" w:ascii="黑体" w:hAnsi="黑体" w:eastAsia="黑体"/>
          <w:sz w:val="32"/>
          <w:szCs w:val="32"/>
        </w:rPr>
        <w:t>附件4</w:t>
      </w:r>
    </w:p>
    <w:p>
      <w:pPr>
        <w:tabs>
          <w:tab w:val="left" w:pos="3885"/>
        </w:tabs>
        <w:snapToGrid w:val="0"/>
        <w:spacing w:line="600" w:lineRule="exact"/>
        <w:jc w:val="center"/>
        <w:rPr>
          <w:rFonts w:hAnsi="宋体"/>
          <w:sz w:val="32"/>
          <w:szCs w:val="32"/>
        </w:rPr>
      </w:pPr>
      <w:r>
        <w:rPr>
          <w:rFonts w:hint="eastAsia" w:hAnsi="宋体"/>
          <w:sz w:val="32"/>
          <w:szCs w:val="32"/>
        </w:rPr>
        <w:t>四川省重点行业企业用地调查分析项目</w:t>
      </w:r>
    </w:p>
    <w:p>
      <w:pPr>
        <w:tabs>
          <w:tab w:val="left" w:pos="3885"/>
        </w:tabs>
        <w:snapToGrid w:val="0"/>
        <w:spacing w:line="600" w:lineRule="exact"/>
        <w:jc w:val="center"/>
        <w:rPr>
          <w:rFonts w:hAnsi="宋体"/>
          <w:sz w:val="32"/>
          <w:szCs w:val="32"/>
        </w:rPr>
      </w:pPr>
      <w:r>
        <w:rPr>
          <w:rFonts w:hint="eastAsia" w:ascii="仿宋_GB2312" w:hAnsi="宋体"/>
          <w:sz w:val="32"/>
          <w:szCs w:val="32"/>
        </w:rPr>
        <w:t>支出绩效自评报告</w:t>
      </w:r>
    </w:p>
    <w:p>
      <w:pPr>
        <w:tabs>
          <w:tab w:val="left" w:pos="3885"/>
        </w:tabs>
        <w:snapToGrid w:val="0"/>
        <w:spacing w:line="600" w:lineRule="exact"/>
        <w:ind w:firstLine="420" w:firstLineChars="200"/>
        <w:jc w:val="left"/>
        <w:rPr>
          <w:rFonts w:ascii="黑体" w:hAnsi="宋体" w:eastAsia="黑体"/>
          <w:b/>
          <w:bCs/>
          <w:sz w:val="28"/>
          <w:szCs w:val="22"/>
        </w:rPr>
      </w:pPr>
      <w:r>
        <w:rPr>
          <w:rFonts w:hint="eastAsia" w:ascii="黑体" w:hAnsi="黑体" w:eastAsia="黑体"/>
        </w:rPr>
        <w:t>一、</w:t>
      </w:r>
      <w:r>
        <w:rPr>
          <w:rFonts w:hint="eastAsia" w:ascii="黑体" w:hAnsi="宋体" w:eastAsia="黑体"/>
          <w:b/>
          <w:bCs/>
          <w:sz w:val="28"/>
          <w:szCs w:val="22"/>
        </w:rPr>
        <w:t>基本情况</w:t>
      </w:r>
    </w:p>
    <w:p>
      <w:p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（一）项目概况</w:t>
      </w:r>
    </w:p>
    <w:p>
      <w:pPr>
        <w:pStyle w:val="2"/>
        <w:ind w:firstLine="560"/>
        <w:rPr>
          <w:rFonts w:hint="eastAsia" w:ascii="Times New Roman" w:eastAsia="宋体"/>
          <w:kern w:val="2"/>
          <w:sz w:val="28"/>
          <w:szCs w:val="22"/>
        </w:rPr>
      </w:pPr>
      <w:r>
        <w:rPr>
          <w:rFonts w:hint="eastAsia" w:ascii="Times New Roman" w:eastAsia="宋体"/>
          <w:kern w:val="2"/>
          <w:sz w:val="28"/>
          <w:szCs w:val="22"/>
        </w:rPr>
        <w:t>土壤是经济社会可持续发展的物质基础，关系人民群众身体健康，关系美丽中国建设，保护好土壤环境是推进生态文明建设和维护国家生态安全的重要内容。当前，我国土壤环境保护还存在污染底数不清、监测监管和风险防控体系不健全，部分地区污染较为严重，已成为全面建成小康社会的突出短板之一。为切实加强土壤污染防治，逐步改善土壤环境质量，国务院于2016年5月印发了《土壤污染防治行动计划》（简称“土十条”）。</w:t>
      </w:r>
    </w:p>
    <w:p>
      <w:pPr>
        <w:pStyle w:val="2"/>
        <w:ind w:firstLine="560"/>
        <w:rPr>
          <w:rFonts w:hint="eastAsia" w:ascii="Times New Roman" w:eastAsia="宋体"/>
          <w:kern w:val="2"/>
          <w:sz w:val="28"/>
          <w:szCs w:val="22"/>
        </w:rPr>
      </w:pPr>
      <w:r>
        <w:rPr>
          <w:rFonts w:hint="eastAsia" w:ascii="Times New Roman" w:eastAsia="宋体"/>
          <w:kern w:val="2"/>
          <w:sz w:val="28"/>
          <w:szCs w:val="22"/>
        </w:rPr>
        <w:t>开展土壤污染状况详查是贯彻落实“土十条”的重要工作，是提升土壤环境管理水平的重要抓手和基础条件。“土十条”中明确要求：在现有相关调查基础上，以农用地和重点行业企业用地为重点，开展土壤污染状况详查，2018年四川省完成了农业用地土壤污染状况详查。</w:t>
      </w:r>
    </w:p>
    <w:p>
      <w:pPr>
        <w:tabs>
          <w:tab w:val="left" w:pos="3885"/>
        </w:tabs>
        <w:snapToGrid w:val="0"/>
        <w:spacing w:line="600" w:lineRule="exact"/>
        <w:ind w:firstLine="562" w:firstLineChars="200"/>
        <w:jc w:val="left"/>
        <w:rPr>
          <w:rFonts w:hint="eastAsia" w:ascii="楷体_GB2312" w:hAnsi="宋体" w:eastAsia="楷体_GB2312"/>
          <w:b/>
          <w:bCs w:val="0"/>
          <w:sz w:val="28"/>
          <w:szCs w:val="36"/>
        </w:rPr>
      </w:pPr>
      <w:r>
        <w:rPr>
          <w:rFonts w:hint="eastAsia" w:ascii="黑体" w:hAnsi="宋体" w:eastAsia="黑体"/>
          <w:b/>
          <w:bCs/>
          <w:sz w:val="28"/>
          <w:szCs w:val="22"/>
        </w:rPr>
        <w:t>（二）</w:t>
      </w:r>
      <w:r>
        <w:rPr>
          <w:rFonts w:hint="eastAsia" w:ascii="楷体_GB2312" w:hAnsi="宋体" w:eastAsia="楷体_GB2312"/>
          <w:b/>
          <w:bCs w:val="0"/>
          <w:sz w:val="28"/>
          <w:szCs w:val="36"/>
        </w:rPr>
        <w:t>项目实施情况</w:t>
      </w:r>
    </w:p>
    <w:p>
      <w:pPr>
        <w:pStyle w:val="2"/>
        <w:ind w:firstLine="560"/>
        <w:rPr>
          <w:rFonts w:hint="eastAsia" w:ascii="Times New Roman" w:eastAsia="宋体"/>
          <w:kern w:val="2"/>
          <w:sz w:val="28"/>
          <w:szCs w:val="22"/>
          <w:lang w:val="en-US"/>
        </w:rPr>
      </w:pPr>
      <w:r>
        <w:rPr>
          <w:rFonts w:hint="eastAsia" w:ascii="Times New Roman" w:eastAsia="宋体"/>
          <w:kern w:val="2"/>
          <w:sz w:val="28"/>
          <w:szCs w:val="22"/>
          <w:lang w:val="en-US"/>
        </w:rPr>
        <w:t>2019年四川省启动了重点行业企业用地土壤污染状况详查工作，并要求2020年年底前掌握全省重点行业企业用地中污染地块的分布及其环境风险情况。按照四川省生态环境厅的统一安排，四川省企业用地调查采样分析工作于2019年完成资金申报，我单位根据项目下达任务，参照川价函[2007]6号四川省环境监测收费标准编制了四川省重点行业企业用地调查采样分析项目预算书。本公司需完成</w:t>
      </w:r>
      <w:r>
        <w:rPr>
          <w:rFonts w:hint="eastAsia" w:ascii="Times New Roman" w:hAnsi="Times New Roman" w:eastAsia="宋体" w:cs="Times New Roman"/>
          <w:kern w:val="2"/>
          <w:sz w:val="28"/>
          <w:szCs w:val="22"/>
        </w:rPr>
        <w:t>802个地块的样品（不包含1地块无样品）分析测试任务。其中检测地块391个，比对地块404</w:t>
      </w:r>
      <w:r>
        <w:rPr>
          <w:rFonts w:hint="eastAsia" w:ascii="Times New Roman" w:eastAsia="宋体"/>
          <w:kern w:val="2"/>
          <w:sz w:val="28"/>
          <w:szCs w:val="22"/>
          <w:lang w:val="en-US"/>
        </w:rPr>
        <w:t>个。</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en-US" w:eastAsia="zh-CN" w:bidi="ar-SA"/>
        </w:rPr>
        <w:t>测试指标为《土壤环境质量建设用地土壤污染风险管控标准》（GB36600-2018）中表1建设用地土壤污染风险筛选值和管制值（基</w:t>
      </w:r>
      <w:r>
        <w:rPr>
          <w:rFonts w:hint="eastAsia" w:ascii="Times New Roman" w:hAnsi="Times New Roman" w:eastAsia="宋体" w:cs="Times New Roman"/>
          <w:kern w:val="2"/>
          <w:sz w:val="28"/>
          <w:szCs w:val="22"/>
          <w:lang w:val="zh-CN" w:eastAsia="zh-CN" w:bidi="ar-SA"/>
        </w:rPr>
        <w:t>本项目）、表2建设用地土壤污染风险筛选值和管制值（其他项目）中挥发性有机污染物及半挥发性有机污染物及其余针对各地块提出的特征污染物。</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zh-CN" w:eastAsia="zh-CN" w:bidi="ar-SA"/>
        </w:rPr>
        <w:t>本公司从2019年10月与川勘集团协作完成全省第一个试点地块，截止项目完成，分析样品数量共计17949个，其中土壤样品17676个，水质样品273个。17676个土壤样品含有机17284个（含全程序空白QCK、运输空白YCK），无机及金属样品392个。目前已经全部分析测试完毕，所有数据均上传完毕。</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zh-CN" w:eastAsia="zh-CN" w:bidi="ar-SA"/>
        </w:rPr>
        <w:t>我公司开展了重点行业企业用地土壤污染状况详查工作，于2020年10月提交完毕分析测试数据，为四川省掌握全省重点行业企业用地中污染地块的分布及其环境风险情况提供了数据支撑。截止目前，生态环境厅和财政厅暂未组织专家对项目进行验收。</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（三）</w:t>
      </w:r>
      <w:r>
        <w:rPr>
          <w:rFonts w:hint="eastAsia" w:ascii="楷体_GB2312" w:hAnsi="宋体" w:eastAsia="楷体_GB2312"/>
          <w:b/>
          <w:bCs w:val="0"/>
          <w:sz w:val="28"/>
          <w:szCs w:val="36"/>
        </w:rPr>
        <w:t>资金投入使用情况</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四川省财政厅关于2020年省级生态环境保护专项资金（第三批）支出预算的通知》（川财资环〔2020〕43号），我单位2020年收到省财政厅拨付“四川省重点行业企业用地调查采样项目”专项资金1,146.00万元，专项资金到位及时。</w:t>
      </w:r>
    </w:p>
    <w:p>
      <w:pPr>
        <w:pStyle w:val="2"/>
        <w:spacing w:beforeLines="-2147483648" w:line="360" w:lineRule="auto"/>
        <w:ind w:firstLine="560" w:firstLineChars="200"/>
        <w:rPr>
          <w:rFonts w:hint="eastAsia" w:ascii="Times New Roman" w:eastAsia="宋体"/>
          <w:kern w:val="2"/>
          <w:sz w:val="28"/>
          <w:szCs w:val="22"/>
        </w:rPr>
      </w:pPr>
      <w:r>
        <w:rPr>
          <w:rFonts w:hint="eastAsia" w:ascii="Times New Roman" w:hAnsi="Times New Roman" w:eastAsia="宋体" w:cs="Times New Roman"/>
          <w:kern w:val="2"/>
          <w:sz w:val="28"/>
          <w:szCs w:val="22"/>
        </w:rPr>
        <w:t>我公司依据《四川省重点行业企业用地调查分析（2020年）预算书》和《土壤污染防治专项资金管理办法》（川财环〔2019〕11号）对专项资金支出进行管理。截止2020年9月底，四川省重点行业企业用地调查分析工作实际支出合计1265.69万元（其中政府专项资金1146.00万元，企业自筹资金119.69万元），其中人员费729.77万元，专用材料和燃料费282.81万元，咨询劳务费4.67万元，设备使用费101.18万元，维修（护）费74.46万元，其他费用19.4万元，办公费9.74万元，印刷费8.30万元，房租水电物业费34.03万元，交通费0.03万元，会议费1.30万元。专项资金执行率为100%。</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（四）</w:t>
      </w:r>
      <w:r>
        <w:rPr>
          <w:rFonts w:hint="eastAsia" w:ascii="楷体_GB2312" w:hAnsi="宋体" w:eastAsia="楷体_GB2312"/>
          <w:b/>
          <w:bCs w:val="0"/>
          <w:sz w:val="28"/>
          <w:szCs w:val="36"/>
        </w:rPr>
        <w:t>项目绩效目标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布点方案，进行现场采样，对样品进行实验分析，出具实验结果及监测报告，为风险分级工作和优先管控名录建立提供科学依据。至2020年10月18日，项目共完成了802个地块（不包含1地块无样品）的分析测试任务。其中，纳入分析测试系统中地块795个，试点地块2个，背景点4个，中石油地块1个（吊黄楼）。测试系统中的795个地块中，检测地块391个，比对地块404个。项目数量指标、质量指标、经济指标、社会效益等指标均达到预期目标。</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二、评价工作开展情况</w:t>
      </w:r>
    </w:p>
    <w:p>
      <w:pPr>
        <w:numPr>
          <w:ilvl w:val="0"/>
          <w:numId w:val="8"/>
        </w:numPr>
        <w:adjustRightInd w:val="0"/>
        <w:snapToGrid w:val="0"/>
        <w:spacing w:line="580" w:lineRule="exact"/>
        <w:ind w:firstLine="720"/>
        <w:rPr>
          <w:rFonts w:ascii="黑体" w:hAnsi="宋体" w:eastAsia="黑体"/>
          <w:b/>
          <w:bCs/>
          <w:sz w:val="28"/>
          <w:szCs w:val="22"/>
        </w:rPr>
      </w:pPr>
      <w:r>
        <w:rPr>
          <w:rFonts w:hint="eastAsia" w:ascii="黑体" w:hAnsi="宋体" w:eastAsia="黑体"/>
          <w:b/>
          <w:bCs/>
          <w:sz w:val="28"/>
          <w:szCs w:val="22"/>
        </w:rPr>
        <w:t>组织情况</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财政部门的相关要求，我单位高度重视，结合绩效管理系统评分表设置了评价指标体系，运用一定的量化指标及评价标准，由项目经理组织相关人员认真组织本项目支出绩效自评，对单位所确定的绩效目标的实现程度、预算的执行结果进行综合性评价。</w:t>
      </w:r>
    </w:p>
    <w:p>
      <w:pPr>
        <w:numPr>
          <w:ilvl w:val="0"/>
          <w:numId w:val="8"/>
        </w:numPr>
        <w:adjustRightInd w:val="0"/>
        <w:snapToGrid w:val="0"/>
        <w:spacing w:line="580" w:lineRule="exact"/>
        <w:ind w:firstLine="720"/>
        <w:rPr>
          <w:rFonts w:ascii="黑体" w:hAnsi="宋体" w:eastAsia="黑体"/>
          <w:b/>
          <w:bCs/>
          <w:sz w:val="28"/>
          <w:szCs w:val="22"/>
        </w:rPr>
      </w:pPr>
      <w:r>
        <w:rPr>
          <w:rFonts w:hint="eastAsia" w:ascii="黑体" w:hAnsi="宋体" w:eastAsia="黑体"/>
          <w:b/>
          <w:bCs/>
          <w:sz w:val="28"/>
          <w:szCs w:val="22"/>
        </w:rPr>
        <w:t>指标体系</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绩效评价指标主要包括完成指标、效益指标、满意度指标3个一级指标。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完成指标下设：数量指标（完成重点行业企业用地调查土壤及地下水采样、制样分析、质控、数据上报等指标数量）、质量指标（调查数据通过国家质量审核）、时效指标（完成2020年度工作计划时间）、成本指标（项目实施未超出预算）4个二级指标（4个三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效益指标下设：经济效益指标（重点行业企业用地调查项目经济效益）、社会效益指标（污染地块安全利用率）生态效益指标（调查范围内土壤风险防患防控率）、可持续影响指标（掌握重点行业企业用地基本情况）4个二级指标（4个三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满意度指标下设：满意度指标（详查数据服务对象满意度）1个二级指标（1个三级指标）。</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评价方法</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中的总体目标和各项绩效指标逐项进行评价分析。</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自评得分总分根据自评表设定的各项指标得分汇总形成。</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评分标准</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本次绩效评价采用百分制，各级指标依据其指标权重确定分值，最终得分由各级评价指标得分加总形成。根据最终得分将评价标准分为四个等级：优（得分≥90分）；良（80分≤得分＜90分）；中（60≤得分＜80分）；差（得分＜60分）</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pStyle w:val="2"/>
        <w:spacing w:beforeLines="-2147483648" w:line="360" w:lineRule="auto"/>
        <w:ind w:firstLine="560" w:firstLineChars="200"/>
        <w:rPr>
          <w:rFonts w:hint="eastAsia" w:ascii="Times New Roman" w:hAnsi="Times New Roman" w:eastAsia="宋体" w:cs="Times New Roman"/>
          <w:kern w:val="2"/>
          <w:sz w:val="28"/>
          <w:szCs w:val="22"/>
        </w:rPr>
        <w:sectPr>
          <w:pgSz w:w="11906" w:h="16838"/>
          <w:pgMar w:top="1440" w:right="1800" w:bottom="1440" w:left="1800" w:header="851" w:footer="992" w:gutter="0"/>
          <w:pgNumType w:fmt="decimal"/>
          <w:cols w:space="425" w:num="1"/>
          <w:docGrid w:type="lines" w:linePitch="435" w:charSpace="0"/>
        </w:sectPr>
      </w:pPr>
      <w:r>
        <w:rPr>
          <w:rFonts w:hint="eastAsia" w:ascii="Times New Roman" w:hAnsi="Times New Roman" w:eastAsia="宋体" w:cs="Times New Roman"/>
          <w:kern w:val="2"/>
          <w:sz w:val="28"/>
          <w:szCs w:val="22"/>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三</w:t>
      </w:r>
      <w:r>
        <w:rPr>
          <w:rFonts w:ascii="黑体" w:hAnsi="黑体" w:eastAsia="黑体" w:cs="黑体"/>
          <w:b/>
          <w:bCs/>
        </w:rPr>
        <w:t>、</w:t>
      </w:r>
      <w:r>
        <w:rPr>
          <w:rFonts w:hint="eastAsia" w:ascii="黑体" w:hAnsi="黑体" w:eastAsia="黑体" w:cs="黑体"/>
          <w:b/>
          <w:bCs/>
        </w:rPr>
        <w:t>综合评价结论（附评分表）</w:t>
      </w:r>
    </w:p>
    <w:p>
      <w:pPr>
        <w:pStyle w:val="2"/>
        <w:ind w:firstLine="560"/>
      </w:pPr>
      <w:r>
        <w:t>本项目综合评分为96分（见表1），评级为优。</w:t>
      </w:r>
    </w:p>
    <w:p>
      <w:pPr>
        <w:jc w:val="center"/>
      </w:pPr>
      <w:r>
        <w:rPr>
          <w:rFonts w:hint="eastAsia" w:ascii="黑体" w:hAnsi="宋体" w:eastAsia="黑体"/>
          <w:sz w:val="28"/>
          <w:szCs w:val="22"/>
        </w:rPr>
        <w:t>表1  评分表</w:t>
      </w: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306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bookmarkStart w:id="129" w:name="_Hlk75352460"/>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620"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74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743"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完成重点行业企业用地调查土壤及地下水采样、制样分析、质控、数据上报等指标数量</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质量指标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调查数据通过国家质量审核</w:t>
            </w:r>
          </w:p>
        </w:tc>
        <w:tc>
          <w:tcPr>
            <w:tcW w:w="1276"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时效指标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完成2</w:t>
            </w:r>
            <w:r>
              <w:t>020</w:t>
            </w:r>
            <w:r>
              <w:rPr>
                <w:rFonts w:hint="eastAsia"/>
              </w:rPr>
              <w:t>年度工作计划时间</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成本指标</w:t>
            </w:r>
          </w:p>
        </w:tc>
        <w:tc>
          <w:tcPr>
            <w:tcW w:w="4253" w:type="dxa"/>
          </w:tcPr>
          <w:p>
            <w:pPr>
              <w:pStyle w:val="2"/>
              <w:spacing w:line="240" w:lineRule="auto"/>
              <w:ind w:firstLine="0" w:firstLineChars="0"/>
              <w:jc w:val="center"/>
            </w:pPr>
            <w:r>
              <w:rPr>
                <w:rFonts w:hint="eastAsia"/>
              </w:rPr>
              <w:t>项目实施未超出预算</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t>8</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0-4</w:t>
            </w:r>
            <w:r>
              <w:rPr>
                <w:rFonts w:hint="eastAsia"/>
              </w:rPr>
              <w:t xml:space="preserve">-低 </w:t>
            </w:r>
            <w:r>
              <w:t>5-7</w:t>
            </w:r>
            <w:r>
              <w:rPr>
                <w:rFonts w:hint="eastAsia"/>
              </w:rPr>
              <w:t xml:space="preserve">-中 </w:t>
            </w:r>
            <w:r>
              <w:t>8</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0-3</w:t>
            </w:r>
            <w:r>
              <w:rPr>
                <w:rFonts w:hint="eastAsia"/>
              </w:rPr>
              <w:t xml:space="preserve">-低 </w:t>
            </w:r>
            <w:r>
              <w:t>3-5</w:t>
            </w:r>
            <w:r>
              <w:rPr>
                <w:rFonts w:hint="eastAsia"/>
              </w:rPr>
              <w:t xml:space="preserve">-中 </w:t>
            </w:r>
            <w:r>
              <w:t>6</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rPr>
                <w:rFonts w:hint="eastAsia"/>
              </w:rP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pPr>
            <w:r>
              <w:rPr>
                <w:rFonts w:hint="eastAsia"/>
              </w:rPr>
              <w:t xml:space="preserve">0-否 </w:t>
            </w:r>
            <w:r>
              <w:t>6</w:t>
            </w:r>
            <w:r>
              <w:rPr>
                <w:rFonts w:hint="eastAsia"/>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1-3</w:t>
            </w:r>
            <w:r>
              <w:rPr>
                <w:rFonts w:hint="eastAsia" w:ascii="仿宋_GB2312" w:hAnsi="宋体"/>
                <w:szCs w:val="24"/>
              </w:rPr>
              <w:t xml:space="preserve">-不满意 </w:t>
            </w:r>
            <w:r>
              <w:rPr>
                <w:rFonts w:ascii="仿宋_GB2312" w:hAnsi="宋体"/>
                <w:szCs w:val="24"/>
              </w:rPr>
              <w:t>4-9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9</w:t>
            </w:r>
          </w:p>
        </w:tc>
      </w:tr>
      <w:bookmarkEnd w:id="129"/>
    </w:tbl>
    <w:p>
      <w:pPr>
        <w:rPr>
          <w:rFonts w:hint="eastAsia"/>
        </w:rPr>
        <w:sectPr>
          <w:pgSz w:w="16838" w:h="11906" w:orient="landscape"/>
          <w:pgMar w:top="1800" w:right="1440" w:bottom="1800" w:left="1440" w:header="851" w:footer="992" w:gutter="0"/>
          <w:pgNumType w:fmt="decimal"/>
          <w:cols w:space="425" w:num="1"/>
          <w:docGrid w:type="lines" w:linePitch="435" w:charSpace="0"/>
        </w:sectPr>
      </w:pP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四、绩效评价分析</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（一）项目决策情况</w:t>
      </w:r>
    </w:p>
    <w:p>
      <w:pPr>
        <w:pStyle w:val="2"/>
        <w:ind w:firstLine="560"/>
        <w:rPr>
          <w:rFonts w:hint="eastAsia" w:ascii="Times New Roman" w:eastAsia="宋体"/>
          <w:kern w:val="2"/>
          <w:sz w:val="28"/>
          <w:szCs w:val="22"/>
        </w:rPr>
      </w:pPr>
      <w:r>
        <w:rPr>
          <w:rFonts w:hint="eastAsia" w:ascii="Times New Roman" w:eastAsia="宋体"/>
          <w:kern w:val="2"/>
          <w:sz w:val="28"/>
          <w:szCs w:val="22"/>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pStyle w:val="2"/>
        <w:ind w:firstLine="560"/>
        <w:rPr>
          <w:rFonts w:hint="eastAsia" w:ascii="Times New Roman" w:eastAsia="宋体"/>
          <w:kern w:val="2"/>
          <w:sz w:val="28"/>
          <w:szCs w:val="22"/>
        </w:rPr>
      </w:pPr>
      <w:r>
        <w:rPr>
          <w:rFonts w:hint="eastAsia" w:ascii="Times New Roman" w:eastAsia="宋体"/>
          <w:kern w:val="2"/>
          <w:sz w:val="28"/>
          <w:szCs w:val="22"/>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（二）项目管理情况</w:t>
      </w:r>
    </w:p>
    <w:p>
      <w:pPr>
        <w:pStyle w:val="2"/>
        <w:ind w:firstLine="560"/>
        <w:rPr>
          <w:rFonts w:hint="eastAsia" w:ascii="Times New Roman" w:eastAsia="宋体"/>
          <w:kern w:val="2"/>
          <w:sz w:val="28"/>
          <w:szCs w:val="22"/>
        </w:rPr>
      </w:pPr>
      <w:r>
        <w:rPr>
          <w:rFonts w:hint="eastAsia" w:ascii="Times New Roman" w:eastAsia="宋体"/>
          <w:kern w:val="2"/>
          <w:sz w:val="28"/>
          <w:szCs w:val="22"/>
        </w:rPr>
        <w:t>2.1项目财务管理情况</w:t>
      </w:r>
    </w:p>
    <w:p>
      <w:pPr>
        <w:pStyle w:val="2"/>
        <w:ind w:firstLine="560"/>
        <w:rPr>
          <w:rFonts w:hint="eastAsia" w:ascii="Times New Roman" w:eastAsia="宋体"/>
          <w:kern w:val="2"/>
          <w:sz w:val="28"/>
          <w:szCs w:val="22"/>
        </w:rPr>
      </w:pPr>
      <w:r>
        <w:rPr>
          <w:rFonts w:hint="eastAsia" w:ascii="Times New Roman" w:eastAsia="宋体"/>
          <w:kern w:val="2"/>
          <w:sz w:val="28"/>
          <w:szCs w:val="22"/>
        </w:rPr>
        <w:t>我公司根据《土壤污染状况详查项目财务管理办法》（财资环〔2019〕11号）、四川省财政资金管理相关规定、四川省地质矿产勘查开发局成都水文地质工程队土壤详查专项资金管理办法、四川省地质工程勘察院集团有限公司《土壤污染状况详查项目财务管理办法》相关规定以及公司财务管理制度对专项资金支出进行管理，制定《四川省天晟源环保股份有限公司2020年四川省重点行业企业用地调查分析项目专项绩效管理办法》，设置专项科目对专项资金进行核算，规范资金支付程序，审核原始凭证，及时进行财务处理。</w:t>
      </w:r>
    </w:p>
    <w:p>
      <w:pPr>
        <w:pStyle w:val="2"/>
        <w:ind w:firstLine="560"/>
        <w:rPr>
          <w:rFonts w:hint="eastAsia" w:ascii="Times New Roman" w:eastAsia="宋体"/>
          <w:kern w:val="2"/>
          <w:sz w:val="28"/>
          <w:szCs w:val="22"/>
        </w:rPr>
      </w:pPr>
      <w:r>
        <w:rPr>
          <w:rFonts w:hint="eastAsia" w:ascii="Times New Roman" w:eastAsia="宋体"/>
          <w:kern w:val="2"/>
          <w:sz w:val="28"/>
          <w:szCs w:val="22"/>
        </w:rPr>
        <w:t>2.2项目组织实施情况。</w:t>
      </w:r>
    </w:p>
    <w:p>
      <w:pPr>
        <w:pStyle w:val="2"/>
        <w:ind w:firstLine="560"/>
        <w:rPr>
          <w:rFonts w:hint="eastAsia" w:ascii="Times New Roman" w:eastAsia="宋体"/>
          <w:kern w:val="2"/>
          <w:sz w:val="28"/>
          <w:szCs w:val="22"/>
        </w:rPr>
      </w:pPr>
      <w:r>
        <w:rPr>
          <w:rFonts w:hint="eastAsia" w:ascii="Times New Roman" w:eastAsia="宋体"/>
          <w:kern w:val="2"/>
          <w:sz w:val="28"/>
          <w:szCs w:val="22"/>
        </w:rPr>
        <w:t>2019年四川省启动了重点行业企业用地土壤污染状况详查工作，并要求于2020年年底前掌握全省重点行业企业用地中污染地块的分布及其环境风险情况。</w:t>
      </w:r>
    </w:p>
    <w:p>
      <w:pPr>
        <w:pStyle w:val="2"/>
        <w:ind w:firstLine="560"/>
        <w:rPr>
          <w:rFonts w:hint="eastAsia" w:ascii="Times New Roman" w:eastAsia="宋体"/>
          <w:kern w:val="2"/>
          <w:sz w:val="28"/>
          <w:szCs w:val="22"/>
        </w:rPr>
      </w:pPr>
      <w:r>
        <w:rPr>
          <w:rFonts w:hint="eastAsia" w:ascii="Times New Roman" w:eastAsia="宋体"/>
          <w:color w:val="auto"/>
          <w:kern w:val="2"/>
          <w:sz w:val="28"/>
          <w:szCs w:val="22"/>
          <w:highlight w:val="none"/>
        </w:rPr>
        <w:t>2020年6月，</w:t>
      </w:r>
      <w:r>
        <w:rPr>
          <w:rFonts w:hint="eastAsia" w:ascii="Times New Roman" w:eastAsia="宋体"/>
          <w:kern w:val="2"/>
          <w:sz w:val="28"/>
          <w:szCs w:val="22"/>
        </w:rPr>
        <w:t>我公司参与编制了《四川省重点行业企业用地初步采样调查实施方案》，方案中明确了本项目中各任务承担单位的具体要求与任务分工，明确了项目实施的技术路线。为进一步贯彻落实国家、省级的重点行业企业用地调查技术规定，进一步贯彻落实《四川省重点行业企业用地初步采样调查实施方案》，规范重点行业企业用地调查项目收样、流转、分析、数据审核、数据上报等环节的具体工作，我公司编制了《四川省天晟源环保公司重点行业企业用地项目实施及质量控制方案》并在全流程中严格执行。方案中对人员安排、仪器配置、物资耗材管理、项目开展流程、质量控制方式等方面进行了充分的描述，项目组成员严格按照既定方案开展工作，各环节有条不紊，确保项目如期完成。</w:t>
      </w:r>
    </w:p>
    <w:p>
      <w:pPr>
        <w:pStyle w:val="2"/>
        <w:ind w:firstLine="560"/>
        <w:rPr>
          <w:rFonts w:hint="eastAsia" w:ascii="Times New Roman" w:eastAsia="宋体"/>
          <w:kern w:val="2"/>
          <w:sz w:val="28"/>
          <w:szCs w:val="22"/>
        </w:rPr>
      </w:pPr>
      <w:r>
        <w:rPr>
          <w:rFonts w:hint="eastAsia" w:ascii="Times New Roman" w:eastAsia="宋体"/>
          <w:kern w:val="2"/>
          <w:sz w:val="28"/>
          <w:szCs w:val="22"/>
        </w:rPr>
        <w:t>上述项目的实施方案编制过程中，各个环节、各个责任小组严格按照方案要求进行技术活动。项目组织管理有条不紊，各个小组各司其职，运行流畅。积极与主管部门沟通，上报公司项目开展情况，主管部门定期发布进度通报。及时收集各类资料档案，包括各类指导性文件、内部原始记录、检测报告、质控报告等，保障资料完整、齐全。</w:t>
      </w:r>
    </w:p>
    <w:p>
      <w:pPr>
        <w:pStyle w:val="2"/>
        <w:ind w:firstLine="560"/>
        <w:rPr>
          <w:rFonts w:hint="eastAsia" w:ascii="Times New Roman" w:eastAsia="宋体"/>
          <w:kern w:val="2"/>
          <w:sz w:val="28"/>
          <w:szCs w:val="22"/>
        </w:rPr>
      </w:pPr>
      <w:r>
        <w:rPr>
          <w:rFonts w:hint="eastAsia" w:ascii="Times New Roman" w:eastAsia="宋体"/>
          <w:kern w:val="2"/>
          <w:sz w:val="28"/>
          <w:szCs w:val="22"/>
        </w:rPr>
        <w:t>在四川省生态环境厅、四川省生态环境监测总站、四川省生态环境科学研究院等各级领导的大力支持下，公司通过试点地块，方法验证，交流培训等方式在项目开展前落实技术重难点、掌握项目整体运行模式并及时核算任务量，组织管理和技术人员成立了90余人的项目组。项目组投入样品流转人员12名、分析测试技术人员49名、18名报告审核和数据报送人员、6名后勤人员以及5名仪器设备管理员等各类技术人员，保证了样品流转、测试分析、数据上报表处理，报告审核等各环节专人专用。所有技术人员均进行了多次线上线下相关培训，累计培训400余人次。确保了各环节积极沟通，项目高效流畅。项目开展前期，项目组开展了大量的分析方法验证试验，对各类有机指标进行了优化组合，配合省站进行了指标模块化工作，为全省项目顺利开展预制好了底层逻辑。并派员配合省环科院进行了布点方案专家审核工作。</w:t>
      </w:r>
    </w:p>
    <w:p>
      <w:pPr>
        <w:pStyle w:val="2"/>
        <w:ind w:firstLine="560"/>
        <w:rPr>
          <w:rFonts w:hint="eastAsia" w:ascii="Times New Roman" w:eastAsia="宋体"/>
          <w:kern w:val="2"/>
          <w:sz w:val="28"/>
          <w:szCs w:val="22"/>
        </w:rPr>
      </w:pPr>
      <w:r>
        <w:rPr>
          <w:rFonts w:hint="eastAsia" w:ascii="Times New Roman" w:eastAsia="宋体"/>
          <w:kern w:val="2"/>
          <w:sz w:val="28"/>
          <w:szCs w:val="22"/>
        </w:rPr>
        <w:t>本项目累计投入前处理设备13台/套，分析测试设备19台/套，做到每类项目均有5台套主要承担设备，2台套备用设备。在部分项目有效期极短，任务量极大的情况下保障了按时、保质、保量完成分析测试任务，在四川省率先完成了分配地块的检测任务。</w:t>
      </w:r>
    </w:p>
    <w:p>
      <w:pPr>
        <w:pStyle w:val="2"/>
        <w:ind w:firstLine="560"/>
      </w:pPr>
      <w:r>
        <w:rPr>
          <w:rFonts w:hint="eastAsia" w:ascii="Times New Roman" w:eastAsia="宋体"/>
          <w:kern w:val="2"/>
          <w:sz w:val="28"/>
          <w:szCs w:val="22"/>
        </w:rPr>
        <w:t>年初受疫情影响，项目并未如期开展，项目组未雨绸缪，多次举行在线会议商讨对策。在疫情未严重扩大的情况下便开始在供应商处购买筹备各类国产、进口耗材，租用仓库放置各类关键试剂。在疫情肆虐时，分析测试环节几乎未受疫情影响，保证了分析测试进度。</w:t>
      </w:r>
    </w:p>
    <w:p>
      <w:pPr>
        <w:pStyle w:val="2"/>
        <w:ind w:firstLine="560"/>
        <w:rPr>
          <w:rFonts w:hint="eastAsia" w:ascii="Times New Roman" w:eastAsia="宋体"/>
          <w:kern w:val="2"/>
          <w:sz w:val="28"/>
          <w:szCs w:val="22"/>
        </w:rPr>
      </w:pPr>
      <w:r>
        <w:rPr>
          <w:rFonts w:hint="eastAsia" w:ascii="Times New Roman" w:eastAsia="宋体"/>
          <w:kern w:val="2"/>
          <w:sz w:val="28"/>
          <w:szCs w:val="22"/>
        </w:rPr>
        <w:t>项目组各小组均设置了对外联系人员。分析测试负责人与样品接收负责人积极与采样单位沟通协调。每周、每日核算接收样品数量、分析样品数量，将样品数量、分析指标、分析人员、仪器设备进行逐一匹配，使样品分析测试时间精确安排至每一个小时，24小时不间断运转，不分昼夜等。真正做到不耽误采样进度、不耽误分析测试进度、不耽误数据上报进度。各个环节随时保持沟通，确保所有样品均按时分析上报。</w:t>
      </w:r>
    </w:p>
    <w:p>
      <w:pPr>
        <w:pStyle w:val="2"/>
        <w:ind w:firstLine="560"/>
        <w:rPr>
          <w:rFonts w:hint="eastAsia" w:ascii="Times New Roman" w:eastAsia="宋体"/>
          <w:kern w:val="2"/>
          <w:sz w:val="28"/>
          <w:szCs w:val="22"/>
        </w:rPr>
      </w:pPr>
      <w:r>
        <w:rPr>
          <w:rFonts w:hint="eastAsia" w:ascii="Times New Roman" w:eastAsia="宋体"/>
          <w:kern w:val="2"/>
          <w:sz w:val="28"/>
          <w:szCs w:val="22"/>
        </w:rPr>
        <w:t>根据项目中所遇到的各类问题，项目组采取周例会形式，在会上积极讨论各类事项解决办法，落实责任人，落实时间节点。</w:t>
      </w:r>
    </w:p>
    <w:p>
      <w:pPr>
        <w:pStyle w:val="2"/>
        <w:ind w:firstLine="560"/>
        <w:rPr>
          <w:rFonts w:hint="eastAsia" w:ascii="Times New Roman" w:eastAsia="宋体"/>
          <w:kern w:val="2"/>
          <w:sz w:val="28"/>
          <w:szCs w:val="22"/>
        </w:rPr>
      </w:pPr>
      <w:r>
        <w:rPr>
          <w:rFonts w:hint="eastAsia" w:ascii="Times New Roman" w:eastAsia="宋体"/>
          <w:kern w:val="2"/>
          <w:sz w:val="28"/>
          <w:szCs w:val="22"/>
        </w:rPr>
        <w:t>同时，根据农业用地详查经验，项目组与公司信息中心联合开发设计了企业用地数据处理系统，峰值时，单人单日处理20余个地块数据及报告。该系统有效保证了数据的准确性及及时性，在本项目中后期，面对海量数据，发挥了重要作用。</w:t>
      </w:r>
    </w:p>
    <w:p>
      <w:pPr>
        <w:pStyle w:val="2"/>
        <w:ind w:firstLine="560"/>
        <w:rPr>
          <w:rFonts w:hint="eastAsia" w:ascii="Times New Roman" w:eastAsia="宋体"/>
          <w:kern w:val="2"/>
          <w:sz w:val="28"/>
          <w:szCs w:val="22"/>
        </w:rPr>
      </w:pPr>
      <w:r>
        <w:rPr>
          <w:rFonts w:hint="eastAsia" w:ascii="Times New Roman" w:eastAsia="宋体"/>
          <w:kern w:val="2"/>
          <w:sz w:val="28"/>
          <w:szCs w:val="22"/>
        </w:rPr>
        <w:t>四川省重点行业企业用地调查分析项目在实施过程中按照《土壤污染防治专项资金管理办法》（财资环〔2019〕11号）执行，未涉及公开招标和政府采购，项目中涉及的耗材采购因耗材品种多，时间间隔长，采用询价和比价方式选择供应商。</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（三）项目产出情况</w:t>
      </w:r>
    </w:p>
    <w:p>
      <w:pPr>
        <w:pStyle w:val="2"/>
        <w:ind w:firstLine="560"/>
        <w:rPr>
          <w:rFonts w:hint="eastAsia" w:ascii="Times New Roman" w:eastAsia="宋体"/>
          <w:kern w:val="2"/>
          <w:sz w:val="28"/>
          <w:szCs w:val="22"/>
        </w:rPr>
      </w:pPr>
      <w:r>
        <w:rPr>
          <w:rFonts w:hint="eastAsia" w:ascii="Times New Roman" w:eastAsia="宋体"/>
          <w:kern w:val="2"/>
          <w:sz w:val="28"/>
          <w:szCs w:val="22"/>
        </w:rPr>
        <w:t>通过全体项目组人员几个月勠力同心、接续奋斗，以不弃微末的工作态度，始终坚守在自己的岗位上。目前，本公司承担的四川省重点行业企业用地土壤污染状况调查分析测试及数据报送工作已圆满完成。共完成802个地块的分析测试任务，实验室共收到样品数量17949个，其中土壤样品17676个，水质样品273个。生态环境厅和财政厅暂未组织专家对项目进行验收。</w:t>
      </w:r>
    </w:p>
    <w:p>
      <w:pPr>
        <w:pStyle w:val="2"/>
        <w:ind w:firstLine="560"/>
        <w:rPr>
          <w:rFonts w:hint="eastAsia" w:ascii="Times New Roman" w:eastAsia="宋体"/>
          <w:kern w:val="2"/>
          <w:sz w:val="28"/>
          <w:szCs w:val="22"/>
        </w:rPr>
      </w:pPr>
      <w:r>
        <w:rPr>
          <w:rFonts w:hint="eastAsia" w:ascii="Times New Roman" w:eastAsia="宋体"/>
          <w:kern w:val="2"/>
          <w:sz w:val="28"/>
          <w:szCs w:val="22"/>
        </w:rPr>
        <w:t>本次详查工作，我公司高度重视，从人员安排、仪器配置、物资准备、方法确认、环境保障等各个环节进行了周密的安排部署。各个工作小组各司其职，工作开展有条不紊。</w:t>
      </w:r>
    </w:p>
    <w:p>
      <w:pPr>
        <w:pStyle w:val="2"/>
        <w:ind w:firstLine="560"/>
        <w:rPr>
          <w:rFonts w:hint="eastAsia" w:ascii="Times New Roman" w:eastAsia="宋体"/>
          <w:kern w:val="2"/>
          <w:sz w:val="28"/>
          <w:szCs w:val="22"/>
        </w:rPr>
      </w:pPr>
      <w:r>
        <w:rPr>
          <w:rFonts w:hint="eastAsia" w:ascii="Times New Roman" w:eastAsia="宋体"/>
          <w:kern w:val="2"/>
          <w:sz w:val="28"/>
          <w:szCs w:val="22"/>
        </w:rPr>
        <w:t>1、样品流转组积极与流转中心、分析组、质控组保持沟通，及时接收样品。累计流转802个地块，总计17949个样品，每个样品均检查后通过扫码终端进行收样，确保了每一个样品及时，完好送达实验室。</w:t>
      </w:r>
    </w:p>
    <w:p>
      <w:pPr>
        <w:pStyle w:val="2"/>
        <w:ind w:firstLine="560"/>
        <w:rPr>
          <w:rFonts w:hint="eastAsia" w:ascii="Times New Roman" w:eastAsia="宋体"/>
          <w:kern w:val="2"/>
          <w:sz w:val="28"/>
          <w:szCs w:val="22"/>
        </w:rPr>
      </w:pPr>
      <w:r>
        <w:rPr>
          <w:rFonts w:hint="eastAsia" w:ascii="Times New Roman" w:eastAsia="宋体"/>
          <w:kern w:val="2"/>
          <w:sz w:val="28"/>
          <w:szCs w:val="22"/>
        </w:rPr>
        <w:t>2、分析组累计出具40万余个有效分析数据，按计划完成了分析任务。并编制、修订了17份作业指导书，30余份方法验证报告。</w:t>
      </w:r>
    </w:p>
    <w:p>
      <w:pPr>
        <w:pStyle w:val="2"/>
        <w:ind w:firstLine="560"/>
        <w:rPr>
          <w:rFonts w:hint="eastAsia" w:ascii="Times New Roman" w:eastAsia="宋体"/>
          <w:kern w:val="2"/>
          <w:sz w:val="28"/>
          <w:szCs w:val="22"/>
        </w:rPr>
      </w:pPr>
      <w:r>
        <w:rPr>
          <w:rFonts w:hint="eastAsia" w:ascii="Times New Roman" w:eastAsia="宋体"/>
          <w:kern w:val="2"/>
          <w:sz w:val="28"/>
          <w:szCs w:val="22"/>
        </w:rPr>
        <w:t>3、质控组圆满完成质控任务，确保出具的每批次数据空白、精密度、准确度、复检合格率均满足要求。累计提交了65万余个有效数据，出具检测报告、质控报告总计1000余份，累计上报795个地块数据。</w:t>
      </w:r>
    </w:p>
    <w:p>
      <w:pPr>
        <w:pStyle w:val="2"/>
        <w:ind w:firstLine="560"/>
        <w:rPr>
          <w:rFonts w:hint="eastAsia" w:ascii="Times New Roman" w:eastAsia="宋体"/>
          <w:kern w:val="2"/>
          <w:sz w:val="28"/>
          <w:szCs w:val="22"/>
        </w:rPr>
      </w:pPr>
      <w:r>
        <w:rPr>
          <w:rFonts w:hint="eastAsia" w:ascii="Times New Roman" w:eastAsia="宋体"/>
          <w:kern w:val="2"/>
          <w:sz w:val="28"/>
          <w:szCs w:val="22"/>
        </w:rPr>
        <w:t>在各个工作小组紧密切配合下，我公司内部质量控制活动有序进行，质量控制计划有效实施；接受了省级、国家级质量监督检查共10次，其中国家级飞行检查2次，圆满完成了各类迎检任务。针对检查组提出的问题，我公司高度重视，积极面对，认真整改，及时对整改措施进行了验证，编制并提交了10余份整改报告。</w:t>
      </w:r>
    </w:p>
    <w:p>
      <w:pPr>
        <w:pStyle w:val="2"/>
        <w:ind w:firstLine="560"/>
        <w:rPr>
          <w:rFonts w:hint="eastAsia" w:ascii="Times New Roman" w:eastAsia="宋体"/>
          <w:kern w:val="2"/>
          <w:sz w:val="28"/>
          <w:szCs w:val="22"/>
        </w:rPr>
      </w:pPr>
      <w:r>
        <w:rPr>
          <w:rFonts w:hint="eastAsia" w:ascii="Times New Roman" w:eastAsia="宋体"/>
          <w:kern w:val="2"/>
          <w:sz w:val="28"/>
          <w:szCs w:val="22"/>
        </w:rPr>
        <w:t>在内、外部质控活动的有序进行下，我公司圆满完成分析检测任务。</w:t>
      </w:r>
    </w:p>
    <w:p>
      <w:pPr>
        <w:pStyle w:val="2"/>
        <w:ind w:firstLine="560"/>
        <w:rPr>
          <w:rFonts w:hint="eastAsia" w:ascii="Times New Roman" w:eastAsia="宋体"/>
          <w:kern w:val="2"/>
          <w:sz w:val="28"/>
          <w:szCs w:val="22"/>
        </w:rPr>
      </w:pPr>
      <w:r>
        <w:rPr>
          <w:rFonts w:hint="eastAsia" w:ascii="Times New Roman" w:eastAsia="宋体"/>
          <w:kern w:val="2"/>
          <w:sz w:val="28"/>
          <w:szCs w:val="22"/>
        </w:rPr>
        <w:t>1、开展了分析测试方法均进行方法确认；</w:t>
      </w:r>
    </w:p>
    <w:p>
      <w:pPr>
        <w:pStyle w:val="2"/>
        <w:ind w:firstLine="560"/>
        <w:rPr>
          <w:rFonts w:hint="eastAsia" w:ascii="Times New Roman" w:eastAsia="宋体"/>
          <w:kern w:val="2"/>
          <w:sz w:val="28"/>
          <w:szCs w:val="22"/>
        </w:rPr>
      </w:pPr>
      <w:r>
        <w:rPr>
          <w:rFonts w:hint="eastAsia" w:ascii="Times New Roman" w:eastAsia="宋体"/>
          <w:kern w:val="2"/>
          <w:sz w:val="28"/>
          <w:szCs w:val="22"/>
        </w:rPr>
        <w:t>2、样品分析测试精密度控制合格率达到100%；</w:t>
      </w:r>
    </w:p>
    <w:p>
      <w:pPr>
        <w:pStyle w:val="2"/>
        <w:ind w:firstLine="560"/>
        <w:rPr>
          <w:rFonts w:hint="eastAsia" w:ascii="Times New Roman" w:eastAsia="宋体"/>
          <w:kern w:val="2"/>
          <w:sz w:val="28"/>
          <w:szCs w:val="22"/>
        </w:rPr>
      </w:pPr>
      <w:r>
        <w:rPr>
          <w:rFonts w:hint="eastAsia" w:ascii="Times New Roman" w:eastAsia="宋体"/>
          <w:kern w:val="2"/>
          <w:sz w:val="28"/>
          <w:szCs w:val="22"/>
        </w:rPr>
        <w:t>3、样品分析测试准确度控制合格率达到100%；</w:t>
      </w:r>
    </w:p>
    <w:p>
      <w:pPr>
        <w:pStyle w:val="2"/>
        <w:ind w:firstLine="560"/>
        <w:rPr>
          <w:rFonts w:hint="eastAsia" w:ascii="Times New Roman" w:eastAsia="宋体"/>
          <w:kern w:val="2"/>
          <w:sz w:val="28"/>
          <w:szCs w:val="22"/>
        </w:rPr>
      </w:pPr>
      <w:r>
        <w:rPr>
          <w:rFonts w:hint="eastAsia" w:ascii="Times New Roman" w:eastAsia="宋体"/>
          <w:kern w:val="2"/>
          <w:sz w:val="28"/>
          <w:szCs w:val="22"/>
        </w:rPr>
        <w:t>检验检测各个环节资料完整清晰，确保每个数据均能溯源。</w:t>
      </w:r>
    </w:p>
    <w:p>
      <w:pPr>
        <w:pStyle w:val="2"/>
        <w:ind w:firstLine="560"/>
        <w:rPr>
          <w:rFonts w:hint="eastAsia" w:ascii="Times New Roman" w:eastAsia="宋体"/>
          <w:kern w:val="2"/>
          <w:sz w:val="28"/>
          <w:szCs w:val="22"/>
        </w:rPr>
      </w:pPr>
      <w:r>
        <w:rPr>
          <w:rFonts w:hint="eastAsia" w:ascii="Times New Roman" w:eastAsia="宋体"/>
          <w:kern w:val="2"/>
          <w:sz w:val="28"/>
          <w:szCs w:val="22"/>
        </w:rPr>
        <w:t>项目截止，在国家质量监督检查组、省详查办、省级质量监督检查组、省级质控组的积极指导下，在公司领导、详查项目小组的通力配合下，我公司在全省分析测试机构中提前完成了详查分析测试任务。天晟源环保将继续以高度的政治责任感和历史使命感，切实做好后续工作，为圆满完成全省的重点行业企业调查任务贡献“天晟源力量”。</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（四）项目效益情况</w:t>
      </w:r>
    </w:p>
    <w:p>
      <w:pPr>
        <w:pStyle w:val="2"/>
        <w:ind w:firstLine="560"/>
        <w:rPr>
          <w:rFonts w:hint="eastAsia" w:ascii="Times New Roman" w:eastAsia="宋体"/>
          <w:kern w:val="2"/>
          <w:sz w:val="28"/>
          <w:szCs w:val="22"/>
        </w:rPr>
      </w:pPr>
      <w:r>
        <w:rPr>
          <w:rFonts w:hint="eastAsia" w:ascii="Times New Roman" w:eastAsia="宋体"/>
          <w:kern w:val="2"/>
          <w:sz w:val="28"/>
          <w:szCs w:val="22"/>
        </w:rPr>
        <w:t>（1）数量指标</w:t>
      </w:r>
    </w:p>
    <w:p>
      <w:pPr>
        <w:pStyle w:val="2"/>
        <w:ind w:firstLine="560"/>
        <w:rPr>
          <w:rFonts w:hint="eastAsia" w:ascii="Times New Roman" w:eastAsia="宋体"/>
          <w:kern w:val="2"/>
          <w:sz w:val="28"/>
          <w:szCs w:val="22"/>
        </w:rPr>
      </w:pPr>
      <w:r>
        <w:rPr>
          <w:rFonts w:hint="eastAsia" w:ascii="Times New Roman" w:eastAsia="宋体"/>
          <w:kern w:val="2"/>
          <w:sz w:val="28"/>
          <w:szCs w:val="22"/>
        </w:rPr>
        <w:t>本公司从2019年10月与川勘集团协作完成全省第一个试点地块，截止项目完成，分析样品数量17949个，其中土壤样品17676个，水质样品273个。17676个土壤样品含有机17284个（含全程序空白QCK、运输空白YCK），无机及金属样品392个。</w:t>
      </w:r>
    </w:p>
    <w:p>
      <w:pPr>
        <w:pStyle w:val="2"/>
        <w:ind w:firstLine="560"/>
        <w:rPr>
          <w:rFonts w:hint="eastAsia" w:ascii="Times New Roman" w:eastAsia="宋体"/>
          <w:kern w:val="2"/>
          <w:sz w:val="28"/>
          <w:szCs w:val="22"/>
        </w:rPr>
      </w:pPr>
      <w:r>
        <w:rPr>
          <w:rFonts w:hint="eastAsia" w:ascii="Times New Roman" w:eastAsia="宋体"/>
          <w:kern w:val="2"/>
          <w:sz w:val="28"/>
          <w:szCs w:val="22"/>
        </w:rPr>
        <w:t>（2）质量指标</w:t>
      </w:r>
    </w:p>
    <w:p>
      <w:pPr>
        <w:pStyle w:val="2"/>
        <w:ind w:firstLine="560"/>
        <w:rPr>
          <w:rFonts w:hint="eastAsia" w:ascii="Times New Roman" w:eastAsia="宋体"/>
          <w:kern w:val="2"/>
          <w:sz w:val="28"/>
          <w:szCs w:val="22"/>
        </w:rPr>
      </w:pPr>
      <w:r>
        <w:rPr>
          <w:rFonts w:hint="eastAsia" w:ascii="Times New Roman" w:eastAsia="宋体"/>
          <w:kern w:val="2"/>
          <w:sz w:val="28"/>
          <w:szCs w:val="22"/>
        </w:rPr>
        <w:t>项目严格按照国家技术要求进行分析测试工作，通过了省级质控（四川省生态环境监测站）、国家质控（国家详查办）组织的各次质量检查。</w:t>
      </w:r>
    </w:p>
    <w:p>
      <w:pPr>
        <w:pStyle w:val="2"/>
        <w:ind w:firstLine="560"/>
        <w:rPr>
          <w:rFonts w:hint="eastAsia" w:ascii="Times New Roman" w:eastAsia="宋体"/>
          <w:kern w:val="2"/>
          <w:sz w:val="28"/>
          <w:szCs w:val="22"/>
        </w:rPr>
      </w:pPr>
      <w:r>
        <w:rPr>
          <w:rFonts w:hint="eastAsia" w:ascii="Times New Roman" w:eastAsia="宋体"/>
          <w:kern w:val="2"/>
          <w:sz w:val="28"/>
          <w:szCs w:val="22"/>
        </w:rPr>
        <w:t>（3）时效指标</w:t>
      </w:r>
    </w:p>
    <w:p>
      <w:pPr>
        <w:pStyle w:val="2"/>
        <w:ind w:firstLine="560"/>
        <w:rPr>
          <w:rFonts w:hint="eastAsia" w:ascii="Times New Roman" w:eastAsia="宋体"/>
          <w:kern w:val="2"/>
          <w:sz w:val="28"/>
          <w:szCs w:val="22"/>
        </w:rPr>
      </w:pPr>
      <w:r>
        <w:rPr>
          <w:rFonts w:hint="eastAsia" w:ascii="Times New Roman" w:eastAsia="宋体"/>
          <w:kern w:val="2"/>
          <w:sz w:val="28"/>
          <w:szCs w:val="22"/>
        </w:rPr>
        <w:t>于2020年9月31日基本完成公司所负责的分析测试工作，后协助其余机构完成收尾工作，整体项目于2020年10月全部完成，满足时效要求。</w:t>
      </w:r>
    </w:p>
    <w:p>
      <w:pPr>
        <w:pStyle w:val="2"/>
        <w:ind w:firstLine="560"/>
        <w:rPr>
          <w:rFonts w:hint="eastAsia" w:ascii="Times New Roman" w:eastAsia="宋体"/>
          <w:kern w:val="2"/>
          <w:sz w:val="28"/>
          <w:szCs w:val="22"/>
        </w:rPr>
      </w:pPr>
      <w:r>
        <w:rPr>
          <w:rFonts w:hint="eastAsia" w:ascii="Times New Roman" w:eastAsia="宋体"/>
          <w:kern w:val="2"/>
          <w:sz w:val="28"/>
          <w:szCs w:val="22"/>
        </w:rPr>
        <w:t>（4）成本指标</w:t>
      </w:r>
    </w:p>
    <w:p>
      <w:pPr>
        <w:pStyle w:val="2"/>
        <w:ind w:firstLine="560"/>
        <w:rPr>
          <w:rFonts w:hint="eastAsia" w:ascii="Times New Roman" w:eastAsia="宋体"/>
          <w:kern w:val="2"/>
          <w:sz w:val="28"/>
          <w:szCs w:val="22"/>
        </w:rPr>
      </w:pPr>
      <w:r>
        <w:rPr>
          <w:rFonts w:hint="eastAsia" w:ascii="Times New Roman" w:eastAsia="宋体"/>
          <w:kern w:val="2"/>
          <w:sz w:val="28"/>
          <w:szCs w:val="22"/>
        </w:rPr>
        <w:t>截止2020年9月，使用资金1265.69万元（其中政府专项资金1146.00万元，企业自筹资金119.69万元）万元，专项资金执行率为100%。</w:t>
      </w:r>
    </w:p>
    <w:p>
      <w:pPr>
        <w:pStyle w:val="2"/>
        <w:ind w:firstLine="560"/>
        <w:rPr>
          <w:rFonts w:hint="eastAsia" w:ascii="Times New Roman" w:eastAsia="宋体"/>
          <w:kern w:val="2"/>
          <w:sz w:val="28"/>
          <w:szCs w:val="22"/>
        </w:rPr>
      </w:pPr>
      <w:r>
        <w:rPr>
          <w:rFonts w:hint="eastAsia" w:ascii="Times New Roman" w:eastAsia="宋体"/>
          <w:kern w:val="2"/>
          <w:sz w:val="28"/>
          <w:szCs w:val="22"/>
        </w:rPr>
        <w:t>（5）经济效益指标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推进建设用地准入管理，指导实施土壤污染分类别、分用途、分阶段治理，有利于相关部门加强土壤环境污染防治和风险管控。</w:t>
      </w:r>
    </w:p>
    <w:p>
      <w:pPr>
        <w:pStyle w:val="2"/>
        <w:ind w:firstLine="560"/>
        <w:rPr>
          <w:rFonts w:hint="eastAsia" w:ascii="Times New Roman" w:eastAsia="宋体"/>
          <w:kern w:val="2"/>
          <w:sz w:val="28"/>
          <w:szCs w:val="22"/>
        </w:rPr>
      </w:pPr>
      <w:r>
        <w:rPr>
          <w:rFonts w:hint="eastAsia" w:ascii="Times New Roman" w:eastAsia="宋体"/>
          <w:kern w:val="2"/>
          <w:sz w:val="28"/>
          <w:szCs w:val="22"/>
        </w:rPr>
        <w:t>（6）社会效益指标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派出专业技术人员，在省环科院、省总站的牵头下形成项目组，进行了成果集成工作。根据调查成果建立了全省重点行业企业用地疑似污染地块清单、污染地块清单和优先管控名录。</w:t>
      </w:r>
    </w:p>
    <w:p>
      <w:pPr>
        <w:pStyle w:val="2"/>
        <w:ind w:firstLine="560"/>
        <w:rPr>
          <w:rFonts w:hint="eastAsia" w:ascii="Times New Roman" w:eastAsia="宋体"/>
          <w:kern w:val="2"/>
          <w:sz w:val="28"/>
          <w:szCs w:val="22"/>
        </w:rPr>
      </w:pPr>
      <w:r>
        <w:rPr>
          <w:rFonts w:hint="eastAsia" w:ascii="Times New Roman" w:eastAsia="宋体"/>
          <w:kern w:val="2"/>
          <w:sz w:val="28"/>
          <w:szCs w:val="22"/>
        </w:rPr>
        <w:t>（7）生态效益指标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根据调查成果，有利于加强污染地块管控，防止企业用地环境恶化。</w:t>
      </w:r>
    </w:p>
    <w:p>
      <w:pPr>
        <w:pStyle w:val="2"/>
        <w:ind w:firstLine="560"/>
        <w:rPr>
          <w:rFonts w:hint="eastAsia" w:ascii="Times New Roman" w:eastAsia="宋体"/>
          <w:kern w:val="2"/>
          <w:sz w:val="28"/>
          <w:szCs w:val="22"/>
        </w:rPr>
      </w:pPr>
      <w:r>
        <w:rPr>
          <w:rFonts w:hint="eastAsia" w:ascii="Times New Roman" w:eastAsia="宋体"/>
          <w:kern w:val="2"/>
          <w:sz w:val="28"/>
          <w:szCs w:val="22"/>
        </w:rPr>
        <w:t>（8）可持续影响指标</w:t>
      </w:r>
    </w:p>
    <w:p>
      <w:pPr>
        <w:pStyle w:val="2"/>
        <w:ind w:firstLine="560"/>
        <w:rPr>
          <w:rFonts w:hint="eastAsia" w:ascii="Times New Roman" w:eastAsia="宋体"/>
          <w:kern w:val="2"/>
          <w:sz w:val="28"/>
          <w:szCs w:val="22"/>
        </w:rPr>
      </w:pPr>
      <w:r>
        <w:rPr>
          <w:rFonts w:hint="eastAsia" w:ascii="Times New Roman" w:eastAsia="宋体"/>
          <w:kern w:val="2"/>
          <w:sz w:val="28"/>
          <w:szCs w:val="22"/>
        </w:rPr>
        <w:t>重点行业企业用地调查工作已有序开展完成。</w:t>
      </w:r>
    </w:p>
    <w:p>
      <w:pPr>
        <w:pStyle w:val="2"/>
        <w:ind w:firstLine="560"/>
        <w:rPr>
          <w:rFonts w:hint="eastAsia" w:ascii="Times New Roman" w:eastAsia="宋体"/>
          <w:kern w:val="2"/>
          <w:sz w:val="28"/>
          <w:szCs w:val="22"/>
        </w:rPr>
      </w:pPr>
      <w:r>
        <w:rPr>
          <w:rFonts w:hint="eastAsia" w:ascii="Times New Roman" w:eastAsia="宋体"/>
          <w:kern w:val="2"/>
          <w:sz w:val="28"/>
          <w:szCs w:val="22"/>
        </w:rPr>
        <w:t>（9）满意度指标</w:t>
      </w:r>
    </w:p>
    <w:p>
      <w:pPr>
        <w:pStyle w:val="2"/>
        <w:ind w:firstLine="560"/>
        <w:rPr>
          <w:rFonts w:hint="eastAsia" w:ascii="Times New Roman" w:eastAsia="宋体"/>
          <w:kern w:val="2"/>
          <w:sz w:val="28"/>
          <w:szCs w:val="22"/>
        </w:rPr>
      </w:pPr>
      <w:r>
        <w:rPr>
          <w:rFonts w:hint="eastAsia" w:ascii="Times New Roman" w:eastAsia="宋体"/>
          <w:kern w:val="2"/>
          <w:sz w:val="28"/>
          <w:szCs w:val="22"/>
        </w:rPr>
        <w:t>通过已通过省级抽查，合格率100%，四川省生态环境厅满意度较高。</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五、存在主要问题</w:t>
      </w:r>
    </w:p>
    <w:p>
      <w:pPr>
        <w:snapToGrid w:val="0"/>
        <w:spacing w:line="600" w:lineRule="exact"/>
        <w:ind w:firstLine="560" w:firstLineChars="200"/>
        <w:rPr>
          <w:sz w:val="28"/>
          <w:szCs w:val="22"/>
        </w:rPr>
      </w:pPr>
      <w:r>
        <w:rPr>
          <w:rFonts w:hint="eastAsia"/>
          <w:sz w:val="28"/>
          <w:szCs w:val="22"/>
        </w:rPr>
        <w:t>本项目实施过程中，主要问题存在于采样环节和分析测试环节进度不一致。要么无样品分析，要么样品大量积压。通过后期沟通、磨合，对采样速度，分析测试效率数据不断精确，不断调整采样小组数量及分析测试工作安排，最终达到二者高效协调进行。</w:t>
      </w:r>
    </w:p>
    <w:p>
      <w:pPr>
        <w:snapToGrid w:val="0"/>
        <w:spacing w:line="600" w:lineRule="exact"/>
        <w:ind w:firstLine="560" w:firstLineChars="200"/>
        <w:rPr>
          <w:sz w:val="28"/>
          <w:szCs w:val="22"/>
        </w:rPr>
      </w:pPr>
      <w:r>
        <w:rPr>
          <w:rFonts w:hint="eastAsia"/>
          <w:sz w:val="28"/>
          <w:szCs w:val="22"/>
        </w:rPr>
        <w:t>采样和分析互通有无，及时沟通，使得本项目高效开展，最终在川内率先完成分析测试任务。</w:t>
      </w:r>
    </w:p>
    <w:p>
      <w:pPr>
        <w:snapToGrid w:val="0"/>
        <w:spacing w:line="600" w:lineRule="exact"/>
        <w:ind w:firstLine="560" w:firstLineChars="200"/>
        <w:rPr>
          <w:sz w:val="28"/>
          <w:szCs w:val="22"/>
        </w:rPr>
      </w:pPr>
      <w:r>
        <w:rPr>
          <w:rFonts w:hint="eastAsia"/>
          <w:sz w:val="28"/>
          <w:szCs w:val="22"/>
        </w:rPr>
        <w:t>项目满意度需要提升。在项目实施过程中，客观上，时间紧、任务重、数据量大，主观上，前期经验不足，对数据处理及审核不够细致，虽然合格率远超技术要求规定，但是仍然出现了部分质量问题，虽然质量问题均已经得到有效整改，但是对客户还是造成了一定影响，以后的工作中将努力改进，提前谋划，争取高效的同时，高质量完成任务。</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六、相关措施建议</w:t>
      </w:r>
    </w:p>
    <w:p>
      <w:pPr>
        <w:spacing w:line="600" w:lineRule="exact"/>
        <w:ind w:firstLine="560" w:firstLineChars="200"/>
        <w:rPr>
          <w:sz w:val="28"/>
          <w:szCs w:val="22"/>
        </w:rPr>
      </w:pPr>
      <w:r>
        <w:rPr>
          <w:rFonts w:hint="eastAsia"/>
          <w:sz w:val="28"/>
          <w:szCs w:val="22"/>
        </w:rPr>
        <w:t>分析测试技术工作是本项目实施的主线，是确保本项目如期完成的主过程。而质量管理工作是确保数据质量、确保数据可靠的关键。二者缺一不可。项目的圆满完成，为我公司开展类似项目提供了丰富的经验。</w:t>
      </w:r>
    </w:p>
    <w:p>
      <w:pPr>
        <w:spacing w:line="600" w:lineRule="exact"/>
        <w:ind w:firstLine="560" w:firstLineChars="200"/>
        <w:rPr>
          <w:sz w:val="28"/>
          <w:szCs w:val="22"/>
        </w:rPr>
      </w:pPr>
      <w:r>
        <w:rPr>
          <w:rFonts w:hint="eastAsia"/>
          <w:sz w:val="28"/>
          <w:szCs w:val="22"/>
        </w:rPr>
        <w:t>1、前期充分介入，了解项目开展方式</w:t>
      </w:r>
    </w:p>
    <w:p>
      <w:pPr>
        <w:spacing w:line="600" w:lineRule="exact"/>
        <w:ind w:firstLine="560" w:firstLineChars="200"/>
        <w:rPr>
          <w:sz w:val="28"/>
          <w:szCs w:val="22"/>
        </w:rPr>
      </w:pPr>
      <w:r>
        <w:rPr>
          <w:rFonts w:hint="eastAsia"/>
          <w:sz w:val="28"/>
          <w:szCs w:val="22"/>
        </w:rPr>
        <w:t>本项目开展初期，我公司积极进行试点工作，为四川省唯一一家试点分析测试单位。对采样、流转、分析均进行了全方位对接。了解了项目流程，提出了项目运行建议，为后期项目高效实施奠定了基础。</w:t>
      </w:r>
    </w:p>
    <w:p>
      <w:pPr>
        <w:spacing w:line="600" w:lineRule="exact"/>
        <w:ind w:firstLine="560" w:firstLineChars="200"/>
        <w:rPr>
          <w:sz w:val="28"/>
          <w:szCs w:val="22"/>
        </w:rPr>
      </w:pPr>
      <w:r>
        <w:rPr>
          <w:rFonts w:hint="eastAsia"/>
          <w:sz w:val="28"/>
          <w:szCs w:val="22"/>
        </w:rPr>
        <w:t>2、资质扩项，确保分析测试指标全覆盖</w:t>
      </w:r>
    </w:p>
    <w:p>
      <w:pPr>
        <w:spacing w:line="600" w:lineRule="exact"/>
        <w:ind w:firstLine="560" w:firstLineChars="200"/>
        <w:rPr>
          <w:sz w:val="28"/>
          <w:szCs w:val="22"/>
        </w:rPr>
      </w:pPr>
      <w:r>
        <w:rPr>
          <w:rFonts w:hint="eastAsia"/>
          <w:sz w:val="28"/>
          <w:szCs w:val="22"/>
        </w:rPr>
        <w:t>通过建立的分析测试指标库，公司提前谋划，购置设备及试剂耗材。积极增扩项，积极完成方法验证报告，确保分析测试指标均纳入CMA资质范围，确保分析测试指标满足相关技术要求。</w:t>
      </w:r>
    </w:p>
    <w:p>
      <w:pPr>
        <w:spacing w:line="600" w:lineRule="exact"/>
        <w:ind w:firstLine="560" w:firstLineChars="200"/>
        <w:rPr>
          <w:sz w:val="28"/>
          <w:szCs w:val="22"/>
        </w:rPr>
      </w:pPr>
      <w:r>
        <w:rPr>
          <w:rFonts w:hint="eastAsia"/>
          <w:sz w:val="28"/>
          <w:szCs w:val="22"/>
        </w:rPr>
        <w:t>3、未雨绸缪，提前购置试剂耗材</w:t>
      </w:r>
    </w:p>
    <w:p>
      <w:pPr>
        <w:spacing w:line="600" w:lineRule="exact"/>
        <w:ind w:firstLine="560" w:firstLineChars="200"/>
        <w:rPr>
          <w:sz w:val="28"/>
          <w:szCs w:val="22"/>
        </w:rPr>
      </w:pPr>
      <w:r>
        <w:rPr>
          <w:rFonts w:hint="eastAsia"/>
          <w:sz w:val="28"/>
          <w:szCs w:val="22"/>
        </w:rPr>
        <w:t>年初疫情爆发，项目组第一时间进行了试剂耗材购置工作。合同签订，租用库房，按照汇报库存情况，采购情况，确保试剂耗材齐备。</w:t>
      </w:r>
    </w:p>
    <w:p>
      <w:pPr>
        <w:spacing w:line="600" w:lineRule="exact"/>
        <w:ind w:firstLine="560" w:firstLineChars="200"/>
        <w:rPr>
          <w:sz w:val="28"/>
          <w:szCs w:val="22"/>
        </w:rPr>
      </w:pPr>
      <w:r>
        <w:rPr>
          <w:rFonts w:hint="eastAsia"/>
          <w:sz w:val="28"/>
          <w:szCs w:val="22"/>
        </w:rPr>
        <w:t>4、上传下达，确保项目各环节高效沟通</w:t>
      </w:r>
    </w:p>
    <w:p>
      <w:pPr>
        <w:spacing w:line="600" w:lineRule="exact"/>
        <w:ind w:firstLine="560" w:firstLineChars="200"/>
        <w:rPr>
          <w:sz w:val="28"/>
          <w:szCs w:val="22"/>
        </w:rPr>
      </w:pPr>
      <w:r>
        <w:rPr>
          <w:rFonts w:hint="eastAsia"/>
          <w:sz w:val="28"/>
          <w:szCs w:val="22"/>
        </w:rPr>
        <w:t>采样负责人、流转负责人、分析负责人建立高效沟通机制，积极沟通进度。协调采样进度、分析进度。确保不耽误采样工作、不积压样品。</w:t>
      </w:r>
    </w:p>
    <w:p>
      <w:pPr>
        <w:spacing w:line="600" w:lineRule="exact"/>
        <w:ind w:firstLine="560" w:firstLineChars="200"/>
        <w:rPr>
          <w:sz w:val="28"/>
          <w:szCs w:val="22"/>
        </w:rPr>
      </w:pPr>
      <w:r>
        <w:rPr>
          <w:rFonts w:hint="eastAsia"/>
          <w:sz w:val="28"/>
          <w:szCs w:val="22"/>
        </w:rPr>
        <w:t>5、优化人员仪器配置，确保分析进度</w:t>
      </w:r>
    </w:p>
    <w:p>
      <w:pPr>
        <w:spacing w:line="600" w:lineRule="exact"/>
        <w:ind w:firstLine="560" w:firstLineChars="200"/>
        <w:rPr>
          <w:sz w:val="28"/>
          <w:szCs w:val="22"/>
        </w:rPr>
      </w:pPr>
      <w:r>
        <w:rPr>
          <w:rFonts w:hint="eastAsia"/>
          <w:sz w:val="28"/>
          <w:szCs w:val="22"/>
        </w:rPr>
        <w:t>根据项目进度要求，按仪器、按人员进行排班，精确至每日分析测试任务。仪器设计排班表，仪器运行、维护精确至小时，合理预留保养时间，确保仪器稳定、高效、正常。</w:t>
      </w:r>
    </w:p>
    <w:p>
      <w:pPr>
        <w:spacing w:line="600" w:lineRule="exact"/>
        <w:ind w:firstLine="560" w:firstLineChars="200"/>
        <w:rPr>
          <w:sz w:val="28"/>
          <w:szCs w:val="22"/>
        </w:rPr>
      </w:pPr>
      <w:r>
        <w:rPr>
          <w:rFonts w:hint="eastAsia"/>
          <w:sz w:val="28"/>
          <w:szCs w:val="22"/>
        </w:rPr>
        <w:t>6、积极进行方法及流程创新，提高精度，提高效率</w:t>
      </w:r>
    </w:p>
    <w:p>
      <w:pPr>
        <w:spacing w:line="600" w:lineRule="exact"/>
        <w:ind w:firstLine="560" w:firstLineChars="200"/>
        <w:rPr>
          <w:sz w:val="28"/>
          <w:szCs w:val="22"/>
        </w:rPr>
      </w:pPr>
      <w:r>
        <w:rPr>
          <w:rFonts w:hint="eastAsia"/>
          <w:sz w:val="28"/>
          <w:szCs w:val="22"/>
        </w:rPr>
        <w:t>时间紧、任务重。各个环节人员不断总结，不断发现并解决生产过程中的技术问题。项目组预计申请专利6个，发表国家级核心3-4篇。其中3个专利进入实质审查，1篇文章国家级核心已接收。</w:t>
      </w:r>
    </w:p>
    <w:p>
      <w:pPr>
        <w:spacing w:line="600" w:lineRule="exact"/>
        <w:ind w:firstLine="560" w:firstLineChars="200"/>
        <w:rPr>
          <w:sz w:val="28"/>
          <w:szCs w:val="22"/>
        </w:rPr>
      </w:pPr>
      <w:r>
        <w:rPr>
          <w:rFonts w:hint="eastAsia"/>
          <w:sz w:val="28"/>
          <w:szCs w:val="22"/>
        </w:rPr>
        <w:t>7、开发数据处理系统，确保分析上报高效、精确</w:t>
      </w:r>
    </w:p>
    <w:p>
      <w:pPr>
        <w:spacing w:line="600" w:lineRule="exact"/>
        <w:ind w:firstLine="560" w:firstLineChars="200"/>
        <w:rPr>
          <w:rFonts w:hint="eastAsia" w:ascii="黑体" w:hAnsi="黑体" w:eastAsia="黑体"/>
          <w:color w:val="000000"/>
          <w:sz w:val="44"/>
          <w:szCs w:val="44"/>
        </w:rPr>
      </w:pPr>
      <w:r>
        <w:rPr>
          <w:rFonts w:hint="eastAsia"/>
          <w:sz w:val="28"/>
          <w:szCs w:val="22"/>
        </w:rPr>
        <w:t>充分利用2018年农用地土壤详查工作经验，提前谋划，开发并设计了数据处理系统。一键导入、一键导出，形成数据上报表，形成检测报告，形成质控报告。高效、精确完成报告编制工作。</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130" w:name="_Toc22985"/>
      <w:bookmarkStart w:id="131" w:name="_Toc27539"/>
      <w:bookmarkStart w:id="132" w:name="_Toc14232"/>
      <w:bookmarkStart w:id="133" w:name="_Toc28406"/>
      <w:r>
        <w:rPr>
          <w:rFonts w:hint="eastAsia" w:ascii="黑体" w:hAnsi="黑体" w:eastAsia="黑体"/>
          <w:color w:val="000000"/>
          <w:sz w:val="44"/>
          <w:szCs w:val="44"/>
        </w:rPr>
        <w:t>第</w:t>
      </w:r>
      <w:r>
        <w:rPr>
          <w:rStyle w:val="25"/>
          <w:rFonts w:hint="eastAsia" w:ascii="黑体" w:hAnsi="黑体" w:eastAsia="黑体"/>
          <w:b w:val="0"/>
        </w:rPr>
        <w:t>五部分 附表</w:t>
      </w:r>
      <w:bookmarkEnd w:id="105"/>
      <w:bookmarkEnd w:id="111"/>
      <w:bookmarkEnd w:id="130"/>
      <w:bookmarkEnd w:id="131"/>
      <w:bookmarkEnd w:id="132"/>
      <w:bookmarkEnd w:id="133"/>
      <w:bookmarkStart w:id="134" w:name="_Toc15396619"/>
    </w:p>
    <w:p>
      <w:pPr>
        <w:pStyle w:val="2"/>
        <w:rPr>
          <w:rStyle w:val="26"/>
          <w:rFonts w:hint="eastAsia" w:ascii="仿宋" w:hAnsi="仿宋" w:eastAsia="仿宋"/>
          <w:b w:val="0"/>
          <w:bCs w:val="0"/>
          <w:lang w:eastAsia="zh-CN"/>
        </w:rPr>
      </w:pPr>
      <w:bookmarkStart w:id="135" w:name="_Toc410"/>
      <w:bookmarkStart w:id="136" w:name="_Toc10832"/>
      <w:r>
        <w:rPr>
          <w:rStyle w:val="26"/>
          <w:rFonts w:hint="eastAsia" w:ascii="仿宋" w:hAnsi="仿宋" w:eastAsia="仿宋"/>
          <w:b w:val="0"/>
          <w:bCs w:val="0"/>
          <w:lang w:eastAsia="zh-CN"/>
        </w:rPr>
        <w:t>一、收入支出决算总表</w:t>
      </w:r>
      <w:bookmarkEnd w:id="134"/>
      <w:bookmarkEnd w:id="135"/>
      <w:bookmarkEnd w:id="136"/>
    </w:p>
    <w:p>
      <w:pPr>
        <w:pStyle w:val="2"/>
        <w:rPr>
          <w:rStyle w:val="26"/>
          <w:rFonts w:hint="eastAsia" w:ascii="仿宋" w:hAnsi="仿宋" w:eastAsia="仿宋"/>
          <w:b w:val="0"/>
          <w:bCs w:val="0"/>
          <w:lang w:eastAsia="zh-CN"/>
        </w:rPr>
      </w:pPr>
      <w:bookmarkStart w:id="137" w:name="_Toc15396620"/>
      <w:bookmarkStart w:id="138" w:name="_Toc10392"/>
      <w:bookmarkStart w:id="139" w:name="_Toc4005"/>
      <w:r>
        <w:rPr>
          <w:rStyle w:val="26"/>
          <w:rFonts w:hint="eastAsia" w:ascii="仿宋" w:hAnsi="仿宋" w:eastAsia="仿宋"/>
          <w:b w:val="0"/>
          <w:bCs w:val="0"/>
          <w:lang w:eastAsia="zh-CN"/>
        </w:rPr>
        <w:t>二、收入决算表</w:t>
      </w:r>
      <w:bookmarkEnd w:id="137"/>
      <w:bookmarkEnd w:id="138"/>
      <w:bookmarkEnd w:id="139"/>
    </w:p>
    <w:p>
      <w:pPr>
        <w:pStyle w:val="2"/>
        <w:rPr>
          <w:rStyle w:val="26"/>
          <w:rFonts w:hint="eastAsia" w:ascii="仿宋" w:hAnsi="仿宋" w:eastAsia="仿宋"/>
          <w:b w:val="0"/>
          <w:bCs w:val="0"/>
          <w:lang w:eastAsia="zh-CN"/>
        </w:rPr>
      </w:pPr>
      <w:bookmarkStart w:id="140" w:name="_Toc15396621"/>
      <w:bookmarkStart w:id="141" w:name="_Toc2647"/>
      <w:bookmarkStart w:id="142" w:name="_Toc21968"/>
      <w:r>
        <w:rPr>
          <w:rStyle w:val="26"/>
          <w:rFonts w:hint="eastAsia" w:ascii="仿宋" w:hAnsi="仿宋" w:eastAsia="仿宋"/>
          <w:b w:val="0"/>
          <w:bCs w:val="0"/>
          <w:lang w:eastAsia="zh-CN"/>
        </w:rPr>
        <w:t>三、支出决算表</w:t>
      </w:r>
      <w:bookmarkEnd w:id="140"/>
      <w:bookmarkEnd w:id="141"/>
      <w:bookmarkEnd w:id="142"/>
    </w:p>
    <w:p>
      <w:pPr>
        <w:pStyle w:val="2"/>
        <w:rPr>
          <w:rStyle w:val="26"/>
          <w:rFonts w:hint="eastAsia" w:ascii="仿宋" w:hAnsi="仿宋" w:eastAsia="仿宋"/>
          <w:b w:val="0"/>
          <w:bCs w:val="0"/>
          <w:lang w:eastAsia="zh-CN"/>
        </w:rPr>
      </w:pPr>
      <w:bookmarkStart w:id="143" w:name="_Toc15396622"/>
      <w:bookmarkStart w:id="144" w:name="_Toc20563"/>
      <w:bookmarkStart w:id="145" w:name="_Toc2756"/>
      <w:r>
        <w:rPr>
          <w:rStyle w:val="26"/>
          <w:rFonts w:hint="eastAsia" w:ascii="仿宋" w:hAnsi="仿宋" w:eastAsia="仿宋"/>
          <w:b w:val="0"/>
          <w:bCs w:val="0"/>
          <w:lang w:eastAsia="zh-CN"/>
        </w:rPr>
        <w:t>四、财政拨款收入支出决算总表</w:t>
      </w:r>
      <w:bookmarkEnd w:id="143"/>
      <w:bookmarkEnd w:id="144"/>
      <w:bookmarkEnd w:id="145"/>
    </w:p>
    <w:p>
      <w:pPr>
        <w:pStyle w:val="2"/>
        <w:rPr>
          <w:rStyle w:val="26"/>
          <w:rFonts w:hint="eastAsia" w:ascii="仿宋" w:hAnsi="仿宋" w:eastAsia="仿宋"/>
          <w:b w:val="0"/>
          <w:bCs w:val="0"/>
          <w:lang w:val="en-US" w:eastAsia="zh-CN"/>
        </w:rPr>
      </w:pPr>
      <w:r>
        <w:rPr>
          <w:rStyle w:val="26"/>
          <w:rFonts w:hint="eastAsia" w:ascii="仿宋" w:hAnsi="仿宋" w:eastAsia="仿宋"/>
          <w:b w:val="0"/>
          <w:bCs w:val="0"/>
          <w:lang w:eastAsia="zh-CN"/>
        </w:rPr>
        <w:t>五、财政拨款支出决算明细表</w:t>
      </w:r>
    </w:p>
    <w:p>
      <w:pPr>
        <w:pStyle w:val="2"/>
        <w:rPr>
          <w:rStyle w:val="26"/>
          <w:rFonts w:hint="eastAsia" w:ascii="仿宋" w:hAnsi="仿宋" w:eastAsia="仿宋"/>
          <w:b w:val="0"/>
          <w:bCs w:val="0"/>
          <w:lang w:eastAsia="zh-CN"/>
        </w:rPr>
      </w:pPr>
      <w:bookmarkStart w:id="146" w:name="_Toc24559"/>
      <w:bookmarkStart w:id="147" w:name="_Toc9780"/>
      <w:bookmarkStart w:id="148" w:name="_Toc15396624"/>
      <w:r>
        <w:rPr>
          <w:rStyle w:val="26"/>
          <w:rFonts w:hint="eastAsia" w:ascii="仿宋" w:hAnsi="仿宋" w:eastAsia="仿宋"/>
          <w:b w:val="0"/>
          <w:bCs w:val="0"/>
          <w:lang w:eastAsia="zh-CN"/>
        </w:rPr>
        <w:t>六、一般公共预算财政拨款支出决算表</w:t>
      </w:r>
      <w:bookmarkEnd w:id="146"/>
      <w:bookmarkEnd w:id="147"/>
      <w:bookmarkEnd w:id="148"/>
    </w:p>
    <w:p>
      <w:pPr>
        <w:pStyle w:val="2"/>
        <w:rPr>
          <w:rStyle w:val="26"/>
          <w:rFonts w:hint="eastAsia" w:ascii="仿宋" w:hAnsi="仿宋" w:eastAsia="仿宋"/>
          <w:b w:val="0"/>
          <w:bCs w:val="0"/>
          <w:lang w:eastAsia="zh-CN"/>
        </w:rPr>
      </w:pPr>
      <w:bookmarkStart w:id="149" w:name="_Toc15396625"/>
      <w:bookmarkStart w:id="150" w:name="_Toc5288"/>
      <w:bookmarkStart w:id="151" w:name="_Toc16670"/>
      <w:r>
        <w:rPr>
          <w:rStyle w:val="26"/>
          <w:rFonts w:hint="eastAsia" w:ascii="仿宋" w:hAnsi="仿宋" w:eastAsia="仿宋"/>
          <w:b w:val="0"/>
          <w:bCs w:val="0"/>
          <w:lang w:eastAsia="zh-CN"/>
        </w:rPr>
        <w:t>七、一般公共预算财政拨款支出决算明细表</w:t>
      </w:r>
      <w:bookmarkEnd w:id="149"/>
      <w:bookmarkEnd w:id="150"/>
      <w:bookmarkEnd w:id="151"/>
    </w:p>
    <w:p>
      <w:pPr>
        <w:pStyle w:val="2"/>
        <w:rPr>
          <w:rStyle w:val="26"/>
          <w:rFonts w:hint="eastAsia" w:ascii="仿宋" w:hAnsi="仿宋" w:eastAsia="仿宋"/>
          <w:b w:val="0"/>
          <w:bCs w:val="0"/>
          <w:lang w:eastAsia="zh-CN"/>
        </w:rPr>
      </w:pPr>
      <w:bookmarkStart w:id="152" w:name="_Toc1340"/>
      <w:bookmarkStart w:id="153" w:name="_Toc558"/>
      <w:bookmarkStart w:id="154" w:name="_Toc15396626"/>
      <w:r>
        <w:rPr>
          <w:rStyle w:val="26"/>
          <w:rFonts w:hint="eastAsia" w:ascii="仿宋" w:hAnsi="仿宋" w:eastAsia="仿宋"/>
          <w:b w:val="0"/>
          <w:bCs w:val="0"/>
          <w:lang w:eastAsia="zh-CN"/>
        </w:rPr>
        <w:t>八、一般公共预算财政拨款基本支出决算表</w:t>
      </w:r>
      <w:bookmarkEnd w:id="152"/>
      <w:bookmarkEnd w:id="153"/>
      <w:bookmarkEnd w:id="154"/>
    </w:p>
    <w:p>
      <w:pPr>
        <w:pStyle w:val="2"/>
        <w:rPr>
          <w:rStyle w:val="26"/>
          <w:rFonts w:hint="eastAsia" w:ascii="仿宋" w:hAnsi="仿宋" w:eastAsia="仿宋"/>
          <w:b w:val="0"/>
          <w:bCs w:val="0"/>
          <w:lang w:eastAsia="zh-CN"/>
        </w:rPr>
      </w:pPr>
      <w:bookmarkStart w:id="155" w:name="_Toc15396627"/>
      <w:bookmarkStart w:id="156" w:name="_Toc23914"/>
      <w:bookmarkStart w:id="157" w:name="_Toc31445"/>
      <w:r>
        <w:rPr>
          <w:rStyle w:val="26"/>
          <w:rFonts w:hint="eastAsia" w:ascii="仿宋" w:hAnsi="仿宋" w:eastAsia="仿宋"/>
          <w:b w:val="0"/>
          <w:bCs w:val="0"/>
          <w:lang w:eastAsia="zh-CN"/>
        </w:rPr>
        <w:t>九、一般公共预算财政拨款项目支出决算表</w:t>
      </w:r>
      <w:bookmarkEnd w:id="155"/>
      <w:bookmarkEnd w:id="156"/>
      <w:bookmarkEnd w:id="157"/>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十、一般公共预算财政拨款“三公”经费支出决算表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十一、政府性基金预算财政拨款收入支出决算表</w:t>
      </w:r>
    </w:p>
    <w:p>
      <w:pPr>
        <w:rPr>
          <w:rStyle w:val="26"/>
          <w:rFonts w:hint="eastAsia" w:ascii="仿宋" w:hAnsi="仿宋" w:eastAsia="仿宋"/>
          <w:b w:val="0"/>
          <w:bCs w:val="0"/>
          <w:lang w:eastAsia="zh-CN"/>
        </w:rPr>
      </w:pPr>
      <w:r>
        <w:rPr>
          <w:rStyle w:val="26"/>
          <w:rFonts w:hint="eastAsia" w:ascii="仿宋" w:hAnsi="仿宋" w:eastAsia="仿宋"/>
          <w:b w:val="0"/>
          <w:bCs w:val="0"/>
          <w:lang w:eastAsia="zh-CN"/>
        </w:rPr>
        <w:t>十二、政府性基金预算财政拨款“三公”经费支出决算表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十三、国有资本经营预算财政拨款收入支出决算表</w:t>
      </w:r>
    </w:p>
    <w:p>
      <w:pPr>
        <w:rPr>
          <w:rFonts w:hint="eastAsia"/>
          <w:lang w:eastAsia="zh-CN"/>
        </w:rPr>
      </w:pPr>
      <w:r>
        <w:rPr>
          <w:rStyle w:val="26"/>
          <w:rFonts w:hint="eastAsia" w:ascii="仿宋" w:hAnsi="仿宋" w:eastAsia="仿宋"/>
          <w:b w:val="0"/>
          <w:bCs w:val="0"/>
          <w:lang w:eastAsia="zh-CN"/>
        </w:rPr>
        <w:t>十四、国有资本经营预算财政拨款支出决算表</w:t>
      </w:r>
    </w:p>
    <w:sectPr>
      <w:headerReference r:id="rId5" w:type="default"/>
      <w:footerReference r:id="rId6"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CF8709D6"/>
    <w:multiLevelType w:val="singleLevel"/>
    <w:tmpl w:val="CF8709D6"/>
    <w:lvl w:ilvl="0" w:tentative="0">
      <w:start w:val="1"/>
      <w:numFmt w:val="decimal"/>
      <w:suff w:val="nothing"/>
      <w:lvlText w:val="（%1）"/>
      <w:lvlJc w:val="left"/>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E8495E8A"/>
    <w:multiLevelType w:val="singleLevel"/>
    <w:tmpl w:val="E8495E8A"/>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4CFDF35"/>
    <w:multiLevelType w:val="singleLevel"/>
    <w:tmpl w:val="14CFDF35"/>
    <w:lvl w:ilvl="0" w:tentative="0">
      <w:start w:val="1"/>
      <w:numFmt w:val="chineseCounting"/>
      <w:suff w:val="nothing"/>
      <w:lvlText w:val="（%1）"/>
      <w:lvlJc w:val="left"/>
      <w:rPr>
        <w:rFonts w:hint="eastAsia"/>
      </w:rPr>
    </w:lvl>
  </w:abstractNum>
  <w:abstractNum w:abstractNumId="7">
    <w:nsid w:val="202D6705"/>
    <w:multiLevelType w:val="singleLevel"/>
    <w:tmpl w:val="202D6705"/>
    <w:lvl w:ilvl="0" w:tentative="0">
      <w:start w:val="1"/>
      <w:numFmt w:val="chineseCounting"/>
      <w:suff w:val="nothing"/>
      <w:lvlText w:val="（%1）"/>
      <w:lvlJc w:val="left"/>
      <w:rPr>
        <w:rFonts w:hint="eastAsia"/>
      </w:rPr>
    </w:lvl>
  </w:abstractNum>
  <w:abstractNum w:abstractNumId="8">
    <w:nsid w:val="2FAB010B"/>
    <w:multiLevelType w:val="multilevel"/>
    <w:tmpl w:val="2FAB010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064A595"/>
    <w:multiLevelType w:val="singleLevel"/>
    <w:tmpl w:val="3064A595"/>
    <w:lvl w:ilvl="0" w:tentative="0">
      <w:start w:val="1"/>
      <w:numFmt w:val="chineseCounting"/>
      <w:suff w:val="nothing"/>
      <w:lvlText w:val="%1、"/>
      <w:lvlJc w:val="left"/>
      <w:rPr>
        <w:rFonts w:hint="eastAsia"/>
      </w:rPr>
    </w:lvl>
  </w:abstractNum>
  <w:abstractNum w:abstractNumId="10">
    <w:nsid w:val="4CECB37B"/>
    <w:multiLevelType w:val="singleLevel"/>
    <w:tmpl w:val="4CECB37B"/>
    <w:lvl w:ilvl="0" w:tentative="0">
      <w:start w:val="1"/>
      <w:numFmt w:val="decimal"/>
      <w:suff w:val="nothing"/>
      <w:lvlText w:val="（%1）"/>
      <w:lvlJc w:val="left"/>
    </w:lvl>
  </w:abstractNum>
  <w:abstractNum w:abstractNumId="11">
    <w:nsid w:val="6B9FAB72"/>
    <w:multiLevelType w:val="singleLevel"/>
    <w:tmpl w:val="6B9FAB72"/>
    <w:lvl w:ilvl="0" w:tentative="0">
      <w:start w:val="5"/>
      <w:numFmt w:val="chineseCounting"/>
      <w:suff w:val="nothing"/>
      <w:lvlText w:val="%1、"/>
      <w:lvlJc w:val="left"/>
      <w:rPr>
        <w:rFonts w:hint="eastAsia"/>
      </w:rPr>
    </w:lvl>
  </w:abstractNum>
  <w:num w:numId="1">
    <w:abstractNumId w:val="0"/>
  </w:num>
  <w:num w:numId="2">
    <w:abstractNumId w:val="10"/>
  </w:num>
  <w:num w:numId="3">
    <w:abstractNumId w:val="5"/>
  </w:num>
  <w:num w:numId="4">
    <w:abstractNumId w:val="1"/>
  </w:num>
  <w:num w:numId="5">
    <w:abstractNumId w:val="3"/>
  </w:num>
  <w:num w:numId="6">
    <w:abstractNumId w:val="9"/>
  </w:num>
  <w:num w:numId="7">
    <w:abstractNumId w:val="7"/>
  </w:num>
  <w:num w:numId="8">
    <w:abstractNumId w:val="6"/>
  </w:num>
  <w:num w:numId="9">
    <w:abstractNumId w:val="8"/>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YjFmMzQzNzIxNTVlNTUyMWMxYTBjMzA4ZGM1O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1AF2"/>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836FA"/>
    <w:rsid w:val="040C368D"/>
    <w:rsid w:val="06E20C69"/>
    <w:rsid w:val="09157201"/>
    <w:rsid w:val="0A2032A3"/>
    <w:rsid w:val="0AD2388C"/>
    <w:rsid w:val="0CCB2260"/>
    <w:rsid w:val="0CD024A7"/>
    <w:rsid w:val="0DEE7E74"/>
    <w:rsid w:val="0EB950F3"/>
    <w:rsid w:val="0FD25D04"/>
    <w:rsid w:val="10C055FF"/>
    <w:rsid w:val="112365CA"/>
    <w:rsid w:val="118107EC"/>
    <w:rsid w:val="11EC3632"/>
    <w:rsid w:val="13E71942"/>
    <w:rsid w:val="1489566A"/>
    <w:rsid w:val="155A7542"/>
    <w:rsid w:val="16892E1D"/>
    <w:rsid w:val="16BB723D"/>
    <w:rsid w:val="173A0F92"/>
    <w:rsid w:val="18015F3F"/>
    <w:rsid w:val="195427D6"/>
    <w:rsid w:val="1BB902BE"/>
    <w:rsid w:val="1BE8440E"/>
    <w:rsid w:val="1D155CEE"/>
    <w:rsid w:val="1DE3711C"/>
    <w:rsid w:val="1E5D6D0A"/>
    <w:rsid w:val="1EDC0CE3"/>
    <w:rsid w:val="1F454F9A"/>
    <w:rsid w:val="20F57F95"/>
    <w:rsid w:val="21110711"/>
    <w:rsid w:val="23E1632F"/>
    <w:rsid w:val="240371BF"/>
    <w:rsid w:val="247D4544"/>
    <w:rsid w:val="24D26815"/>
    <w:rsid w:val="250D49C3"/>
    <w:rsid w:val="26C7451D"/>
    <w:rsid w:val="27842671"/>
    <w:rsid w:val="27E80D11"/>
    <w:rsid w:val="29FD04D3"/>
    <w:rsid w:val="2ABE7A3E"/>
    <w:rsid w:val="2ACB7A8D"/>
    <w:rsid w:val="2ACF1FA2"/>
    <w:rsid w:val="2B2D33A0"/>
    <w:rsid w:val="2D2C18D7"/>
    <w:rsid w:val="30600240"/>
    <w:rsid w:val="31507FA6"/>
    <w:rsid w:val="319F7F4E"/>
    <w:rsid w:val="33CC4EE1"/>
    <w:rsid w:val="35F567B8"/>
    <w:rsid w:val="35F94FE3"/>
    <w:rsid w:val="37AB6EF3"/>
    <w:rsid w:val="385E2D01"/>
    <w:rsid w:val="38CC54FB"/>
    <w:rsid w:val="391E10A1"/>
    <w:rsid w:val="3BAB70E1"/>
    <w:rsid w:val="3C0C0783"/>
    <w:rsid w:val="3CE428CD"/>
    <w:rsid w:val="3EA10484"/>
    <w:rsid w:val="40560BC5"/>
    <w:rsid w:val="42AA334D"/>
    <w:rsid w:val="460A19A5"/>
    <w:rsid w:val="46130C84"/>
    <w:rsid w:val="464610AA"/>
    <w:rsid w:val="46B15F05"/>
    <w:rsid w:val="47442CC0"/>
    <w:rsid w:val="49010D02"/>
    <w:rsid w:val="493C27E9"/>
    <w:rsid w:val="496F39ED"/>
    <w:rsid w:val="499C7B6E"/>
    <w:rsid w:val="49FF41D3"/>
    <w:rsid w:val="4A555432"/>
    <w:rsid w:val="4BE068DB"/>
    <w:rsid w:val="4BF6002B"/>
    <w:rsid w:val="4C533EEE"/>
    <w:rsid w:val="4D2D3B99"/>
    <w:rsid w:val="4DDD416A"/>
    <w:rsid w:val="4ECE2238"/>
    <w:rsid w:val="4F0E5C48"/>
    <w:rsid w:val="50CC18DC"/>
    <w:rsid w:val="50D23644"/>
    <w:rsid w:val="51FE1B1E"/>
    <w:rsid w:val="5298491B"/>
    <w:rsid w:val="54A9186B"/>
    <w:rsid w:val="564163E2"/>
    <w:rsid w:val="572872B1"/>
    <w:rsid w:val="579C4900"/>
    <w:rsid w:val="58014E83"/>
    <w:rsid w:val="58165F38"/>
    <w:rsid w:val="5831356E"/>
    <w:rsid w:val="5A395053"/>
    <w:rsid w:val="5CB44EDB"/>
    <w:rsid w:val="5FF817FB"/>
    <w:rsid w:val="60092DC5"/>
    <w:rsid w:val="60A036F5"/>
    <w:rsid w:val="611E7E7F"/>
    <w:rsid w:val="62B30F42"/>
    <w:rsid w:val="63094469"/>
    <w:rsid w:val="633D4717"/>
    <w:rsid w:val="639509DB"/>
    <w:rsid w:val="63A52F31"/>
    <w:rsid w:val="63BB7376"/>
    <w:rsid w:val="63C85374"/>
    <w:rsid w:val="63D9570D"/>
    <w:rsid w:val="643C19E8"/>
    <w:rsid w:val="64694145"/>
    <w:rsid w:val="64825603"/>
    <w:rsid w:val="64AA291A"/>
    <w:rsid w:val="64CA39A1"/>
    <w:rsid w:val="68683AC7"/>
    <w:rsid w:val="68C71D58"/>
    <w:rsid w:val="69841F77"/>
    <w:rsid w:val="69A166BF"/>
    <w:rsid w:val="6A5E5F8B"/>
    <w:rsid w:val="6AE3463F"/>
    <w:rsid w:val="6B190232"/>
    <w:rsid w:val="6B71380A"/>
    <w:rsid w:val="6B94618A"/>
    <w:rsid w:val="6C197CA0"/>
    <w:rsid w:val="6C4A05C8"/>
    <w:rsid w:val="6E1B7061"/>
    <w:rsid w:val="6FFA5088"/>
    <w:rsid w:val="716615FB"/>
    <w:rsid w:val="71737292"/>
    <w:rsid w:val="719D34B8"/>
    <w:rsid w:val="72734D90"/>
    <w:rsid w:val="73831456"/>
    <w:rsid w:val="73C36894"/>
    <w:rsid w:val="73F9054D"/>
    <w:rsid w:val="757C7C5D"/>
    <w:rsid w:val="79101DE7"/>
    <w:rsid w:val="798D5574"/>
    <w:rsid w:val="7B31787E"/>
    <w:rsid w:val="7B856B2C"/>
    <w:rsid w:val="7CCA50FE"/>
    <w:rsid w:val="7D9936AD"/>
    <w:rsid w:val="7E0B392B"/>
    <w:rsid w:val="7F5939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6130;&#21153;&#20915;&#31639;-&#27700;&#25991;&#38431;-&#20844;&#243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6130;&#21153;&#20915;&#31639;-&#27700;&#25991;&#38431;-&#20844;&#243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36130;&#21153;&#20915;&#31639;-&#27700;&#25991;&#38431;-&#20844;&#243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36130;&#21153;&#20915;&#31639;-&#27700;&#25991;&#38431;-&#20844;&#243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36130;&#21153;&#20915;&#31639;-&#27700;&#25991;&#38431;-&#20844;&#24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近两年收、支决算总计变动情况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14CD68"/>
                </a:gs>
                <a:gs pos="100000">
                  <a:srgbClr val="035C7D"/>
                </a:gs>
              </a:gsLst>
              <a:path path="circle">
                <a:fillToRect l="100000" t="100000"/>
              </a:path>
              <a:tileRect r="-100000" b="-100000"/>
            </a:gradFill>
            <a:ln>
              <a:noFill/>
            </a:ln>
            <a:effectLst/>
          </c:spPr>
          <c:invertIfNegative val="0"/>
          <c:dLbls>
            <c:dLbl>
              <c:idx val="0"/>
              <c:layout>
                <c:manualLayout>
                  <c:x val="-0.00208333333333333"/>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7506.15</a:t>
                    </a:r>
                    <a:endParaRPr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6">
                <a:lumMod val="75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11127.11</a:t>
                    </a:r>
                    <a:endParaRPr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不同结构收入占比</a:t>
            </a:r>
            <a:endParaRPr b="1"/>
          </a:p>
        </c:rich>
      </c:tx>
      <c:layout>
        <c:manualLayout>
          <c:xMode val="edge"/>
          <c:yMode val="edge"/>
          <c:x val="0.0220833333333333"/>
          <c:y val="0.0451388888888889"/>
        </c:manualLayout>
      </c:layout>
      <c:overlay val="0"/>
      <c:spPr>
        <a:noFill/>
        <a:ln>
          <a:noFill/>
        </a:ln>
        <a:effectLst/>
      </c:spPr>
    </c:title>
    <c:autoTitleDeleted val="0"/>
    <c:plotArea>
      <c:layout/>
      <c:pieChart>
        <c:varyColors val="1"/>
        <c:ser>
          <c:idx val="0"/>
          <c:order val="0"/>
          <c:tx>
            <c:strRef>
              <c:f>'[财务决算-水文队-公开.xlsx]2'!$C$3</c:f>
              <c:strCache>
                <c:ptCount val="1"/>
                <c:pt idx="0">
                  <c:v>比率</c:v>
                </c:pt>
              </c:strCache>
            </c:strRef>
          </c:tx>
          <c:spPr/>
          <c:explosion val="0"/>
          <c:dPt>
            <c:idx val="0"/>
            <c:bubble3D val="0"/>
            <c:explosion val="0"/>
            <c:spPr>
              <a:solidFill>
                <a:schemeClr val="tx2">
                  <a:lumMod val="40000"/>
                  <a:lumOff val="6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05654761904762"/>
                  <c:y val="-0.3382800608828"/>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0479166666666667"/>
                  <c:y val="-0.020833333333333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08958333333333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'[财务决算-水文队-公开.xlsx]2'!$B$4:$B$6</c:f>
              <c:strCache>
                <c:ptCount val="3"/>
                <c:pt idx="0">
                  <c:v>财政拨款收入</c:v>
                </c:pt>
                <c:pt idx="1">
                  <c:v>经营收入</c:v>
                </c:pt>
                <c:pt idx="2">
                  <c:v>其他收入</c:v>
                </c:pt>
              </c:strCache>
            </c:strRef>
          </c:cat>
          <c:val>
            <c:numRef>
              <c:f>'[财务决算-水文队-公开.xlsx]2'!$C$4:$C$6</c:f>
              <c:numCache>
                <c:formatCode>0.00%</c:formatCode>
                <c:ptCount val="3"/>
                <c:pt idx="0">
                  <c:v>0.9732</c:v>
                </c:pt>
                <c:pt idx="1">
                  <c:v>0.0112</c:v>
                </c:pt>
                <c:pt idx="2">
                  <c:v>0.0156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支出决算分类占比</a:t>
            </a:r>
            <a:endParaRPr b="1">
              <a:solidFill>
                <a:schemeClr val="tx1"/>
              </a:solidFill>
            </a:endParaRPr>
          </a:p>
        </c:rich>
      </c:tx>
      <c:layout>
        <c:manualLayout>
          <c:xMode val="edge"/>
          <c:yMode val="edge"/>
          <c:x val="0.0134608126808404"/>
          <c:y val="0.0260586319218241"/>
        </c:manualLayout>
      </c:layout>
      <c:overlay val="0"/>
      <c:spPr>
        <a:noFill/>
        <a:ln>
          <a:noFill/>
        </a:ln>
        <a:effectLst/>
      </c:spPr>
    </c:title>
    <c:autoTitleDeleted val="0"/>
    <c:plotArea>
      <c:layout/>
      <c:pieChart>
        <c:varyColors val="1"/>
        <c:ser>
          <c:idx val="0"/>
          <c:order val="0"/>
          <c:tx>
            <c:strRef>
              <c:f>'[财务决算-水文队-公开.xlsx]Sheet1'!$C$23:$C$24</c:f>
              <c:strCache>
                <c:ptCount val="1"/>
                <c:pt idx="0">
                  <c:v>支出决算分类占比 比率</c:v>
                </c:pt>
              </c:strCache>
            </c:strRef>
          </c:tx>
          <c:spPr>
            <a:solidFill>
              <a:srgbClr val="1898B4"/>
            </a:solidFill>
          </c:spPr>
          <c:explosion val="0"/>
          <c:dPt>
            <c:idx val="0"/>
            <c:bubble3D val="0"/>
            <c:spPr>
              <a:solidFill>
                <a:srgbClr val="1898B4"/>
              </a:solidFill>
              <a:ln w="19050">
                <a:solidFill>
                  <a:schemeClr val="lt1"/>
                </a:solidFill>
              </a:ln>
              <a:effectLst/>
            </c:spPr>
          </c:dPt>
          <c:dPt>
            <c:idx val="1"/>
            <c:bubble3D val="0"/>
            <c:explosion val="5"/>
            <c:spPr>
              <a:solidFill>
                <a:schemeClr val="accent6">
                  <a:lumMod val="60000"/>
                  <a:lumOff val="40000"/>
                </a:schemeClr>
              </a:solidFill>
              <a:ln w="19050">
                <a:solidFill>
                  <a:schemeClr val="lt1"/>
                </a:solidFill>
              </a:ln>
              <a:effectLst/>
            </c:spPr>
          </c:dPt>
          <c:dPt>
            <c:idx val="2"/>
            <c:bubble3D val="0"/>
            <c:spPr>
              <a:gradFill>
                <a:gsLst>
                  <a:gs pos="13000">
                    <a:srgbClr val="E03E3E">
                      <a:alpha val="100000"/>
                    </a:srgbClr>
                  </a:gs>
                  <a:gs pos="40000">
                    <a:srgbClr val="A23232">
                      <a:alpha val="100000"/>
                    </a:srgbClr>
                  </a:gs>
                  <a:gs pos="26000">
                    <a:srgbClr val="C13838">
                      <a:alpha val="100000"/>
                    </a:srgbClr>
                  </a:gs>
                  <a:gs pos="0">
                    <a:srgbClr val="FE4444"/>
                  </a:gs>
                  <a:gs pos="100000">
                    <a:srgbClr val="832B2B"/>
                  </a:gs>
                </a:gsLst>
                <a:path path="circle">
                  <a:fillToRect l="100000" t="100000"/>
                </a:path>
                <a:tileRect r="-100000" b="-100000"/>
              </a:gradFill>
              <a:ln w="19050">
                <a:solidFill>
                  <a:schemeClr val="lt1"/>
                </a:solidFill>
              </a:ln>
              <a:effectLst/>
            </c:spPr>
          </c:dPt>
          <c:dLbls>
            <c:dLbl>
              <c:idx val="0"/>
              <c:layout>
                <c:manualLayout>
                  <c:x val="0.00181510164569216"/>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a:solidFill>
                          <a:schemeClr val="tx1"/>
                        </a:solidFill>
                      </a:rPr>
                      <a:t>基本支出</a:t>
                    </a:r>
                    <a:endParaRPr>
                      <a:solidFill>
                        <a:schemeClr val="tx1"/>
                      </a:solidFill>
                    </a:endParaRPr>
                  </a:p>
                  <a:p>
                    <a:pPr defTabSz="914400">
                      <a:defRPr lang="zh-CN" sz="900" b="0" i="0" u="none" strike="noStrike" kern="1200" baseline="0">
                        <a:solidFill>
                          <a:schemeClr val="tx1"/>
                        </a:solidFill>
                        <a:latin typeface="+mn-lt"/>
                        <a:ea typeface="+mn-ea"/>
                        <a:cs typeface="+mn-cs"/>
                      </a:defRPr>
                    </a:pPr>
                    <a:r>
                      <a:rPr>
                        <a:solidFill>
                          <a:schemeClr val="tx1"/>
                        </a:solidFill>
                      </a:rPr>
                      <a:t> 61.35% </a:t>
                    </a:r>
                    <a:endParaRPr>
                      <a:solidFill>
                        <a:schemeClr val="tx1"/>
                      </a:solidFill>
                    </a:endParaRP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'[财务决算-水文队-公开.xlsx]Sheet1'!$B$25:$B$27</c:f>
              <c:strCache>
                <c:ptCount val="3"/>
                <c:pt idx="0">
                  <c:v>基本支出</c:v>
                </c:pt>
                <c:pt idx="1">
                  <c:v>项目支出</c:v>
                </c:pt>
                <c:pt idx="2">
                  <c:v>经营支出</c:v>
                </c:pt>
              </c:strCache>
            </c:strRef>
          </c:cat>
          <c:val>
            <c:numRef>
              <c:f>'[财务决算-水文队-公开.xlsx]Sheet1'!$C$25:$C$27</c:f>
              <c:numCache>
                <c:formatCode>0.00%</c:formatCode>
                <c:ptCount val="3"/>
                <c:pt idx="0">
                  <c:v>0.6135</c:v>
                </c:pt>
                <c:pt idx="1">
                  <c:v>0.3848</c:v>
                </c:pt>
                <c:pt idx="2">
                  <c:v>0.0017</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252178121974831"/>
          <c:y val="0.902559690255969"/>
          <c:w val="0.459220716360116"/>
          <c:h val="0.063024306302430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近两年财政收、支总计变动情况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12700"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bg1">
          <a:lumMod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一般财政拨款支出决算变动情况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9EE256"/>
                </a:gs>
                <a:gs pos="100000">
                  <a:srgbClr val="52762D"/>
                </a:gs>
              </a:gsLst>
              <a:path path="circle">
                <a:fillToRect l="100000" t="100000"/>
              </a:path>
              <a:tileRect r="-100000" b="-100000"/>
            </a:gradFill>
            <a:ln>
              <a:noFill/>
            </a:ln>
            <a:effectLst/>
          </c:spPr>
          <c:invertIfNegative val="0"/>
          <c:dLbls>
            <c:dLbl>
              <c:idx val="0"/>
              <c:layout>
                <c:manualLayout>
                  <c:x val="-0.00388556810444952"/>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6349.63</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lumMod val="60000"/>
                <a:lumOff val="40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10094.96</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48</Pages>
  <Words>18883</Words>
  <Characters>20134</Characters>
  <Lines>61</Lines>
  <Paragraphs>17</Paragraphs>
  <TotalTime>2</TotalTime>
  <ScaleCrop>false</ScaleCrop>
  <LinksUpToDate>false</LinksUpToDate>
  <CharactersWithSpaces>20243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蜀秦</cp:lastModifiedBy>
  <cp:lastPrinted>2021-08-24T01:56:00Z</cp:lastPrinted>
  <dcterms:modified xsi:type="dcterms:W3CDTF">2022-08-04T06:46:51Z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A50667491F6643E2BF03A04F021AB5DE</vt:lpwstr>
  </property>
</Properties>
</file>