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b/>
          <w:bCs/>
          <w:color w:val="auto"/>
          <w:sz w:val="72"/>
          <w:szCs w:val="72"/>
        </w:rPr>
      </w:pPr>
      <w:bookmarkStart w:id="1" w:name="_Toc5315"/>
      <w:bookmarkStart w:id="2" w:name="_Toc15377425"/>
      <w:bookmarkStart w:id="3" w:name="_Toc15378441"/>
      <w:bookmarkStart w:id="4" w:name="_Toc15396597"/>
      <w:bookmarkStart w:id="5" w:name="_Toc15396475"/>
      <w:bookmarkStart w:id="6" w:name="_Toc10590"/>
      <w:bookmarkStart w:id="7" w:name="_Toc19004"/>
      <w:bookmarkStart w:id="8" w:name="_Toc15377193"/>
      <w:bookmarkStart w:id="9" w:name="_Toc30914"/>
      <w:r>
        <w:rPr>
          <w:rFonts w:ascii="黑体" w:hAnsi="黑体" w:eastAsia="黑体"/>
          <w:b/>
          <w:bCs/>
          <w:color w:val="auto"/>
          <w:sz w:val="72"/>
          <w:szCs w:val="72"/>
        </w:rPr>
        <w:t>20</w:t>
      </w:r>
      <w:r>
        <w:rPr>
          <w:rFonts w:hint="eastAsia" w:ascii="黑体" w:hAnsi="黑体" w:eastAsia="黑体"/>
          <w:b/>
          <w:bCs/>
          <w:color w:val="auto"/>
          <w:sz w:val="72"/>
          <w:szCs w:val="72"/>
          <w:lang w:val="en-US" w:eastAsia="zh-CN"/>
        </w:rPr>
        <w:t>20</w:t>
      </w:r>
      <w:r>
        <w:rPr>
          <w:rFonts w:hint="eastAsia" w:ascii="方正小标宋简体" w:hAnsi="宋体" w:eastAsia="方正小标宋简体"/>
          <w:b/>
          <w:bCs/>
          <w:color w:val="auto"/>
          <w:sz w:val="72"/>
          <w:szCs w:val="72"/>
        </w:rPr>
        <w:t>年度</w:t>
      </w:r>
      <w:bookmarkEnd w:id="1"/>
      <w:bookmarkEnd w:id="2"/>
      <w:bookmarkEnd w:id="3"/>
      <w:bookmarkEnd w:id="4"/>
      <w:bookmarkEnd w:id="5"/>
      <w:bookmarkEnd w:id="6"/>
      <w:bookmarkEnd w:id="7"/>
      <w:bookmarkEnd w:id="8"/>
      <w:bookmarkEnd w:id="9"/>
    </w:p>
    <w:p>
      <w:pPr>
        <w:adjustRightInd w:val="0"/>
        <w:snapToGrid w:val="0"/>
        <w:spacing w:line="360" w:lineRule="auto"/>
        <w:jc w:val="center"/>
        <w:outlineLvl w:val="0"/>
        <w:rPr>
          <w:rFonts w:ascii="方正小标宋简体" w:hAnsi="宋体" w:eastAsia="方正小标宋简体"/>
          <w:b/>
          <w:bCs/>
          <w:color w:val="auto"/>
          <w:sz w:val="72"/>
          <w:szCs w:val="72"/>
        </w:rPr>
      </w:pPr>
      <w:bookmarkStart w:id="10" w:name="_Toc12341"/>
      <w:bookmarkStart w:id="11" w:name="_Toc15396476"/>
      <w:bookmarkStart w:id="12" w:name="_Toc27453"/>
      <w:bookmarkStart w:id="13" w:name="_Toc15377426"/>
      <w:bookmarkStart w:id="14" w:name="_Toc15396598"/>
      <w:bookmarkStart w:id="15" w:name="_Toc6451"/>
      <w:bookmarkStart w:id="16" w:name="_Toc15377194"/>
      <w:bookmarkStart w:id="17" w:name="_Toc15378442"/>
      <w:bookmarkStart w:id="18" w:name="_Toc4833"/>
      <w:r>
        <w:rPr>
          <w:rFonts w:hint="eastAsia" w:ascii="方正小标宋简体" w:hAnsi="宋体" w:eastAsia="方正小标宋简体"/>
          <w:b/>
          <w:bCs/>
          <w:color w:val="auto"/>
          <w:sz w:val="72"/>
          <w:szCs w:val="72"/>
        </w:rPr>
        <w:t>四川省</w:t>
      </w:r>
      <w:bookmarkEnd w:id="0"/>
      <w:bookmarkStart w:id="19" w:name="_Toc15306268"/>
      <w:r>
        <w:rPr>
          <w:rFonts w:hint="eastAsia" w:ascii="方正小标宋简体" w:hAnsi="宋体" w:eastAsia="方正小标宋简体"/>
          <w:b/>
          <w:bCs/>
          <w:color w:val="auto"/>
          <w:sz w:val="72"/>
          <w:szCs w:val="72"/>
          <w:lang w:eastAsia="zh-CN"/>
        </w:rPr>
        <w:t>地矿局成都水文队单位</w:t>
      </w:r>
      <w:r>
        <w:rPr>
          <w:rFonts w:hint="eastAsia" w:ascii="方正小标宋简体" w:hAnsi="宋体" w:eastAsia="方正小标宋简体"/>
          <w:b/>
          <w:bCs/>
          <w:color w:val="auto"/>
          <w:sz w:val="72"/>
          <w:szCs w:val="72"/>
        </w:rPr>
        <w:t>决算</w:t>
      </w:r>
      <w:bookmarkEnd w:id="10"/>
      <w:bookmarkEnd w:id="11"/>
      <w:bookmarkEnd w:id="12"/>
      <w:bookmarkEnd w:id="13"/>
      <w:bookmarkEnd w:id="14"/>
      <w:bookmarkEnd w:id="15"/>
      <w:bookmarkEnd w:id="16"/>
      <w:bookmarkEnd w:id="17"/>
      <w:bookmarkEnd w:id="18"/>
      <w:bookmarkEnd w:id="19"/>
    </w:p>
    <w:p>
      <w:pPr>
        <w:adjustRightInd w:val="0"/>
        <w:snapToGrid w:val="0"/>
        <w:spacing w:line="360" w:lineRule="auto"/>
        <w:jc w:val="center"/>
        <w:outlineLvl w:val="0"/>
        <w:rPr>
          <w:rFonts w:ascii="方正小标宋简体" w:hAnsi="宋体" w:eastAsia="方正小标宋简体"/>
          <w:color w:val="auto"/>
          <w:sz w:val="32"/>
          <w:szCs w:val="32"/>
        </w:rPr>
      </w:pPr>
    </w:p>
    <w:p>
      <w:pPr>
        <w:pStyle w:val="10"/>
        <w:adjustRightInd w:val="0"/>
        <w:snapToGrid w:val="0"/>
        <w:spacing w:before="0" w:line="440" w:lineRule="exact"/>
        <w:ind w:firstLine="0" w:firstLineChars="0"/>
        <w:jc w:val="left"/>
        <w:rPr>
          <w:rFonts w:hint="eastAsia"/>
          <w:color w:val="auto"/>
          <w:sz w:val="24"/>
          <w:lang w:eastAsia="zh-CN"/>
        </w:rPr>
        <w:sectPr>
          <w:pgSz w:w="11906" w:h="16838"/>
          <w:pgMar w:top="1440" w:right="1800" w:bottom="1440" w:left="1800" w:header="851" w:footer="992" w:gutter="0"/>
          <w:pgNumType w:fmt="decimal"/>
          <w:cols w:space="425" w:num="1"/>
          <w:docGrid w:type="lines" w:linePitch="312" w:charSpace="0"/>
        </w:sectPr>
      </w:pPr>
    </w:p>
    <w:p>
      <w:pPr>
        <w:widowControl/>
        <w:jc w:val="center"/>
        <w:rPr>
          <w:rFonts w:hint="eastAsia" w:ascii="黑体" w:hAnsi="黑体" w:eastAsia="黑体"/>
          <w:color w:val="auto"/>
          <w:sz w:val="32"/>
          <w:szCs w:val="32"/>
        </w:rPr>
      </w:pPr>
      <w:r>
        <w:rPr>
          <w:rFonts w:hint="eastAsia" w:ascii="黑体" w:hAnsi="黑体" w:eastAsia="黑体"/>
          <w:color w:val="auto"/>
          <w:sz w:val="44"/>
          <w:szCs w:val="44"/>
        </w:rPr>
        <w:t>目</w:t>
      </w:r>
      <w:r>
        <w:rPr>
          <w:rFonts w:hint="eastAsia" w:ascii="黑体" w:hAnsi="黑体" w:eastAsia="黑体"/>
          <w:color w:val="auto"/>
          <w:sz w:val="44"/>
          <w:szCs w:val="44"/>
          <w:lang w:val="en-US" w:eastAsia="zh-CN"/>
        </w:rPr>
        <w:t xml:space="preserve"> </w:t>
      </w:r>
      <w:r>
        <w:rPr>
          <w:rFonts w:hint="eastAsia" w:ascii="黑体" w:hAnsi="黑体" w:eastAsia="黑体"/>
          <w:color w:val="auto"/>
          <w:sz w:val="44"/>
          <w:szCs w:val="44"/>
        </w:rPr>
        <w:t>录</w:t>
      </w:r>
    </w:p>
    <w:p>
      <w:pPr>
        <w:pStyle w:val="2"/>
        <w:rPr>
          <w:rFonts w:hint="eastAsia"/>
        </w:rPr>
      </w:pPr>
    </w:p>
    <w:p>
      <w:pPr>
        <w:pStyle w:val="10"/>
        <w:adjustRightInd w:val="0"/>
        <w:snapToGrid w:val="0"/>
        <w:spacing w:before="0" w:line="440" w:lineRule="exact"/>
        <w:ind w:firstLine="2240" w:firstLineChars="800"/>
        <w:jc w:val="left"/>
      </w:pPr>
      <w:r>
        <w:rPr>
          <w:rFonts w:hint="eastAsia"/>
          <w:color w:val="auto"/>
        </w:rPr>
        <w:t>公开时间：20</w:t>
      </w:r>
      <w:r>
        <w:rPr>
          <w:rFonts w:hint="eastAsia"/>
          <w:color w:val="auto"/>
          <w:lang w:val="en-US" w:eastAsia="zh-CN"/>
        </w:rPr>
        <w:t>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10</w:t>
      </w:r>
      <w:r>
        <w:rPr>
          <w:rFonts w:hint="eastAsia"/>
          <w:color w:val="auto"/>
        </w:rPr>
        <w:t>日</w:t>
      </w:r>
      <w:r>
        <w:rPr>
          <w:rFonts w:ascii="黑体" w:hAnsi="黑体" w:eastAsia="黑体" w:cstheme="minorBidi"/>
          <w:color w:val="auto"/>
          <w:sz w:val="28"/>
          <w:szCs w:val="28"/>
        </w:rPr>
        <w:fldChar w:fldCharType="begin"/>
      </w:r>
      <w:r>
        <w:rPr>
          <w:rFonts w:ascii="黑体" w:hAnsi="黑体" w:eastAsia="黑体" w:cstheme="minorBidi"/>
          <w:color w:val="auto"/>
          <w:sz w:val="28"/>
          <w:szCs w:val="28"/>
        </w:rPr>
        <w:instrText xml:space="preserve">TOC \o "1-2" \h \u </w:instrText>
      </w:r>
      <w:r>
        <w:rPr>
          <w:rFonts w:ascii="黑体" w:hAnsi="黑体" w:eastAsia="黑体" w:cstheme="minorBidi"/>
          <w:color w:val="auto"/>
          <w:sz w:val="28"/>
          <w:szCs w:val="28"/>
        </w:rPr>
        <w:fldChar w:fldCharType="separate"/>
      </w:r>
    </w:p>
    <w:p>
      <w:pPr>
        <w:pStyle w:val="10"/>
        <w:adjustRightInd w:val="0"/>
        <w:snapToGrid w:val="0"/>
        <w:spacing w:before="0" w:line="440" w:lineRule="exact"/>
        <w:jc w:val="left"/>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_Toc25359 </w:instrText>
      </w:r>
      <w:r>
        <w:rPr>
          <w:rFonts w:ascii="黑体" w:hAnsi="黑体" w:eastAsia="黑体" w:cstheme="minorBidi"/>
          <w:szCs w:val="28"/>
        </w:rPr>
        <w:fldChar w:fldCharType="separate"/>
      </w:r>
      <w:r>
        <w:rPr>
          <w:rFonts w:hint="eastAsia" w:ascii="黑体" w:hAnsi="黑体" w:eastAsia="黑体"/>
        </w:rPr>
        <w:t xml:space="preserve">第一部分 </w:t>
      </w:r>
      <w:r>
        <w:rPr>
          <w:rFonts w:hint="eastAsia" w:ascii="黑体" w:hAnsi="黑体" w:eastAsia="黑体"/>
          <w:lang w:eastAsia="zh-CN"/>
        </w:rPr>
        <w:t>单位</w:t>
      </w:r>
      <w:r>
        <w:rPr>
          <w:rFonts w:hint="eastAsia" w:ascii="黑体" w:hAnsi="黑体" w:eastAsia="黑体"/>
          <w:bCs w:val="0"/>
        </w:rPr>
        <w:t>概况</w:t>
      </w:r>
      <w:r>
        <w:tab/>
      </w:r>
      <w:r>
        <w:fldChar w:fldCharType="begin"/>
      </w:r>
      <w:r>
        <w:instrText xml:space="preserve"> PAGEREF _Toc25359 \h </w:instrText>
      </w:r>
      <w:r>
        <w:fldChar w:fldCharType="separate"/>
      </w:r>
      <w:r>
        <w:t>1</w:t>
      </w:r>
      <w:r>
        <w:fldChar w:fldCharType="end"/>
      </w:r>
      <w:r>
        <w:rPr>
          <w:rFonts w:ascii="黑体" w:hAnsi="黑体" w:eastAsia="黑体" w:cstheme="minorBidi"/>
          <w:color w:val="auto"/>
          <w:szCs w:val="28"/>
        </w:rPr>
        <w:fldChar w:fldCharType="end"/>
      </w:r>
    </w:p>
    <w:p>
      <w:pPr>
        <w:pStyle w:val="10"/>
        <w:adjustRightInd w:val="0"/>
        <w:snapToGrid w:val="0"/>
        <w:spacing w:line="440" w:lineRule="exact"/>
        <w:ind w:firstLine="560" w:firstLineChars="200"/>
        <w:jc w:val="left"/>
        <w:rPr>
          <w:rFonts w:hint="eastAsia" w:ascii="仿宋" w:hAnsi="仿宋" w:eastAsia="仿宋" w:cs="Times New Roman"/>
          <w:color w:val="auto"/>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color w:val="auto"/>
          <w:sz w:val="28"/>
          <w:szCs w:val="28"/>
        </w:rPr>
        <w:instrText xml:space="preserve"> HYPERLINK \l _Toc14417 </w:instrText>
      </w:r>
      <w:r>
        <w:rPr>
          <w:rFonts w:hint="eastAsia" w:ascii="仿宋" w:hAnsi="仿宋" w:eastAsia="仿宋" w:cs="Times New Roman"/>
          <w:color w:val="auto"/>
          <w:sz w:val="28"/>
          <w:szCs w:val="28"/>
        </w:rPr>
        <w:fldChar w:fldCharType="separate"/>
      </w:r>
      <w:r>
        <w:rPr>
          <w:rFonts w:hint="eastAsia" w:ascii="仿宋" w:hAnsi="仿宋" w:eastAsia="仿宋" w:cs="Times New Roman"/>
          <w:color w:val="auto"/>
          <w:sz w:val="28"/>
          <w:szCs w:val="28"/>
        </w:rPr>
        <w:t>一、 职能</w:t>
      </w:r>
      <w:r>
        <w:rPr>
          <w:rFonts w:hint="eastAsia" w:ascii="仿宋" w:hAnsi="仿宋" w:eastAsia="仿宋" w:cs="Times New Roman"/>
          <w:color w:val="auto"/>
          <w:sz w:val="28"/>
          <w:szCs w:val="28"/>
          <w:lang w:eastAsia="zh-CN"/>
        </w:rPr>
        <w:t>简介</w:t>
      </w:r>
      <w:r>
        <w:rPr>
          <w:rFonts w:hint="eastAsia" w:ascii="仿宋" w:hAnsi="仿宋" w:eastAsia="仿宋" w:cs="Times New Roman"/>
          <w:color w:val="auto"/>
          <w:sz w:val="28"/>
          <w:szCs w:val="28"/>
        </w:rPr>
        <w:tab/>
      </w:r>
      <w:r>
        <w:rPr>
          <w:rFonts w:hint="eastAsia" w:ascii="仿宋" w:hAnsi="仿宋" w:eastAsia="仿宋" w:cs="Times New Roman"/>
          <w:color w:val="auto"/>
          <w:sz w:val="28"/>
          <w:szCs w:val="28"/>
        </w:rPr>
        <w:fldChar w:fldCharType="begin"/>
      </w:r>
      <w:r>
        <w:rPr>
          <w:rFonts w:hint="eastAsia" w:ascii="仿宋" w:hAnsi="仿宋" w:eastAsia="仿宋" w:cs="Times New Roman"/>
          <w:color w:val="auto"/>
          <w:sz w:val="28"/>
          <w:szCs w:val="28"/>
        </w:rPr>
        <w:instrText xml:space="preserve"> PAGEREF _Toc14417 \h </w:instrText>
      </w:r>
      <w:r>
        <w:rPr>
          <w:rFonts w:hint="eastAsia" w:ascii="仿宋" w:hAnsi="仿宋" w:eastAsia="仿宋" w:cs="Times New Roman"/>
          <w:color w:val="auto"/>
          <w:sz w:val="28"/>
          <w:szCs w:val="28"/>
        </w:rPr>
        <w:fldChar w:fldCharType="separate"/>
      </w:r>
      <w:r>
        <w:rPr>
          <w:rFonts w:hint="eastAsia" w:ascii="仿宋" w:hAnsi="仿宋" w:eastAsia="仿宋" w:cs="Times New Roman"/>
          <w:color w:val="auto"/>
          <w:sz w:val="28"/>
          <w:szCs w:val="28"/>
        </w:rPr>
        <w:t>1</w:t>
      </w:r>
      <w:r>
        <w:rPr>
          <w:rFonts w:hint="eastAsia" w:ascii="仿宋" w:hAnsi="仿宋" w:eastAsia="仿宋" w:cs="Times New Roman"/>
          <w:color w:val="auto"/>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ascii="仿宋" w:hAnsi="仿宋" w:eastAsia="仿宋" w:cs="Times New Roman"/>
          <w:color w:val="auto"/>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color w:val="auto"/>
          <w:sz w:val="28"/>
          <w:szCs w:val="28"/>
        </w:rPr>
        <w:instrText xml:space="preserve"> HYPERLINK \l _Toc25420 </w:instrText>
      </w:r>
      <w:r>
        <w:rPr>
          <w:rFonts w:hint="eastAsia" w:ascii="仿宋" w:hAnsi="仿宋" w:eastAsia="仿宋" w:cs="Times New Roman"/>
          <w:color w:val="auto"/>
          <w:sz w:val="28"/>
          <w:szCs w:val="28"/>
        </w:rPr>
        <w:fldChar w:fldCharType="separate"/>
      </w:r>
      <w:r>
        <w:rPr>
          <w:rFonts w:hint="eastAsia" w:ascii="仿宋" w:hAnsi="仿宋" w:eastAsia="仿宋" w:cs="Times New Roman"/>
          <w:color w:val="auto"/>
          <w:sz w:val="28"/>
          <w:szCs w:val="28"/>
        </w:rPr>
        <w:t xml:space="preserve">二、 </w:t>
      </w:r>
      <w:r>
        <w:rPr>
          <w:rFonts w:hint="eastAsia" w:ascii="仿宋" w:hAnsi="仿宋" w:eastAsia="仿宋" w:cs="Times New Roman"/>
          <w:color w:val="auto"/>
          <w:sz w:val="28"/>
          <w:szCs w:val="28"/>
          <w:lang w:val="en-US" w:eastAsia="zh-CN"/>
        </w:rPr>
        <w:t>2020年重点</w:t>
      </w:r>
      <w:r>
        <w:rPr>
          <w:rFonts w:hint="eastAsia" w:ascii="仿宋" w:hAnsi="仿宋" w:eastAsia="仿宋" w:cs="Times New Roman"/>
          <w:color w:val="auto"/>
          <w:sz w:val="28"/>
          <w:szCs w:val="28"/>
        </w:rPr>
        <w:t>工作</w:t>
      </w:r>
      <w:r>
        <w:rPr>
          <w:rFonts w:hint="eastAsia" w:ascii="仿宋" w:hAnsi="仿宋" w:eastAsia="仿宋" w:cs="Times New Roman"/>
          <w:color w:val="auto"/>
          <w:sz w:val="28"/>
          <w:szCs w:val="28"/>
          <w:lang w:eastAsia="zh-CN"/>
        </w:rPr>
        <w:t>完成情况</w:t>
      </w:r>
      <w:r>
        <w:rPr>
          <w:rFonts w:hint="eastAsia" w:ascii="仿宋" w:hAnsi="仿宋" w:eastAsia="仿宋" w:cs="Times New Roman"/>
          <w:color w:val="auto"/>
          <w:sz w:val="28"/>
          <w:szCs w:val="28"/>
        </w:rPr>
        <w:tab/>
      </w:r>
      <w:r>
        <w:rPr>
          <w:rFonts w:hint="eastAsia" w:ascii="仿宋" w:hAnsi="仿宋" w:eastAsia="仿宋" w:cs="Times New Roman"/>
          <w:color w:val="auto"/>
          <w:sz w:val="28"/>
          <w:szCs w:val="28"/>
        </w:rPr>
        <w:fldChar w:fldCharType="begin"/>
      </w:r>
      <w:r>
        <w:rPr>
          <w:rFonts w:hint="eastAsia" w:ascii="仿宋" w:hAnsi="仿宋" w:eastAsia="仿宋" w:cs="Times New Roman"/>
          <w:color w:val="auto"/>
          <w:sz w:val="28"/>
          <w:szCs w:val="28"/>
        </w:rPr>
        <w:instrText xml:space="preserve"> PAGEREF _Toc25420 \h </w:instrText>
      </w:r>
      <w:r>
        <w:rPr>
          <w:rFonts w:hint="eastAsia" w:ascii="仿宋" w:hAnsi="仿宋" w:eastAsia="仿宋" w:cs="Times New Roman"/>
          <w:color w:val="auto"/>
          <w:sz w:val="28"/>
          <w:szCs w:val="28"/>
        </w:rPr>
        <w:fldChar w:fldCharType="separate"/>
      </w:r>
      <w:r>
        <w:rPr>
          <w:rFonts w:hint="eastAsia" w:ascii="仿宋" w:hAnsi="仿宋" w:eastAsia="仿宋" w:cs="Times New Roman"/>
          <w:color w:val="auto"/>
          <w:sz w:val="28"/>
          <w:szCs w:val="28"/>
        </w:rPr>
        <w:t>2</w:t>
      </w:r>
      <w:r>
        <w:rPr>
          <w:rFonts w:hint="eastAsia" w:ascii="仿宋" w:hAnsi="仿宋" w:eastAsia="仿宋" w:cs="Times New Roman"/>
          <w:color w:val="auto"/>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color w:val="auto"/>
          <w:sz w:val="28"/>
          <w:szCs w:val="28"/>
        </w:rPr>
        <w:instrText xml:space="preserve"> HYPERLINK \l _Toc25420 </w:instrText>
      </w:r>
      <w:r>
        <w:rPr>
          <w:rFonts w:hint="eastAsia" w:ascii="仿宋" w:hAnsi="仿宋" w:eastAsia="仿宋" w:cs="Times New Roman"/>
          <w:color w:val="auto"/>
          <w:sz w:val="28"/>
          <w:szCs w:val="28"/>
        </w:rPr>
        <w:fldChar w:fldCharType="separate"/>
      </w:r>
      <w:r>
        <w:rPr>
          <w:rFonts w:hint="eastAsia" w:ascii="仿宋" w:hAnsi="仿宋" w:eastAsia="仿宋" w:cs="Times New Roman"/>
          <w:color w:val="auto"/>
          <w:sz w:val="28"/>
          <w:szCs w:val="28"/>
          <w:lang w:eastAsia="zh-CN"/>
        </w:rPr>
        <w:t>三</w:t>
      </w:r>
      <w:r>
        <w:rPr>
          <w:rFonts w:hint="eastAsia" w:ascii="仿宋" w:hAnsi="仿宋" w:eastAsia="仿宋" w:cs="Times New Roman"/>
          <w:color w:val="auto"/>
          <w:sz w:val="28"/>
          <w:szCs w:val="28"/>
        </w:rPr>
        <w:t xml:space="preserve">、 </w:t>
      </w:r>
      <w:r>
        <w:rPr>
          <w:rFonts w:hint="eastAsia" w:ascii="仿宋" w:hAnsi="仿宋" w:eastAsia="仿宋" w:cs="Times New Roman"/>
          <w:color w:val="auto"/>
          <w:sz w:val="28"/>
          <w:szCs w:val="28"/>
          <w:lang w:val="en-US" w:eastAsia="zh-CN"/>
        </w:rPr>
        <w:t>机构设置</w:t>
      </w:r>
      <w:r>
        <w:rPr>
          <w:rFonts w:hint="eastAsia" w:ascii="仿宋" w:hAnsi="仿宋" w:eastAsia="仿宋" w:cs="Times New Roman"/>
          <w:color w:val="auto"/>
          <w:sz w:val="28"/>
          <w:szCs w:val="28"/>
          <w:lang w:eastAsia="zh-CN"/>
        </w:rPr>
        <w:t>情况</w:t>
      </w:r>
      <w:r>
        <w:rPr>
          <w:rFonts w:hint="eastAsia" w:ascii="仿宋" w:hAnsi="仿宋" w:eastAsia="仿宋" w:cs="Times New Roman"/>
          <w:color w:val="auto"/>
          <w:sz w:val="28"/>
          <w:szCs w:val="28"/>
        </w:rPr>
        <w:tab/>
      </w:r>
      <w:r>
        <w:rPr>
          <w:rFonts w:hint="eastAsia" w:ascii="仿宋" w:hAnsi="仿宋" w:eastAsia="仿宋" w:cs="Times New Roman"/>
          <w:color w:val="auto"/>
          <w:sz w:val="28"/>
          <w:szCs w:val="28"/>
        </w:rPr>
        <w:fldChar w:fldCharType="begin"/>
      </w:r>
      <w:r>
        <w:rPr>
          <w:rFonts w:hint="eastAsia" w:ascii="仿宋" w:hAnsi="仿宋" w:eastAsia="仿宋" w:cs="Times New Roman"/>
          <w:color w:val="auto"/>
          <w:sz w:val="28"/>
          <w:szCs w:val="28"/>
        </w:rPr>
        <w:instrText xml:space="preserve"> PAGEREF _Toc25420 \h </w:instrText>
      </w:r>
      <w:r>
        <w:rPr>
          <w:rFonts w:hint="eastAsia" w:ascii="仿宋" w:hAnsi="仿宋" w:eastAsia="仿宋" w:cs="Times New Roman"/>
          <w:color w:val="auto"/>
          <w:sz w:val="28"/>
          <w:szCs w:val="28"/>
        </w:rPr>
        <w:fldChar w:fldCharType="separate"/>
      </w:r>
      <w:r>
        <w:rPr>
          <w:rFonts w:hint="eastAsia" w:ascii="仿宋" w:hAnsi="仿宋" w:eastAsia="仿宋" w:cs="Times New Roman"/>
          <w:color w:val="auto"/>
          <w:sz w:val="28"/>
          <w:szCs w:val="28"/>
        </w:rPr>
        <w:t>2</w:t>
      </w:r>
      <w:r>
        <w:rPr>
          <w:rFonts w:hint="eastAsia" w:ascii="仿宋" w:hAnsi="仿宋" w:eastAsia="仿宋" w:cs="Times New Roman"/>
          <w:color w:val="auto"/>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before="0" w:line="440" w:lineRule="exact"/>
        <w:jc w:val="left"/>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_Toc109 </w:instrText>
      </w:r>
      <w:r>
        <w:rPr>
          <w:rFonts w:ascii="黑体" w:hAnsi="黑体" w:eastAsia="黑体" w:cstheme="minorBidi"/>
          <w:szCs w:val="28"/>
        </w:rPr>
        <w:fldChar w:fldCharType="separate"/>
      </w:r>
      <w:r>
        <w:rPr>
          <w:rFonts w:hint="eastAsia" w:ascii="黑体" w:hAnsi="黑体" w:eastAsia="黑体"/>
          <w:bCs/>
        </w:rPr>
        <w:t xml:space="preserve">第二部分 </w:t>
      </w:r>
      <w:r>
        <w:rPr>
          <w:rFonts w:hint="eastAsia" w:ascii="黑体" w:hAnsi="黑体" w:eastAsia="黑体"/>
          <w:bCs/>
          <w:lang w:val="en-US" w:eastAsia="zh-CN"/>
        </w:rPr>
        <w:t>2020年度</w:t>
      </w:r>
      <w:r>
        <w:rPr>
          <w:rFonts w:hint="eastAsia" w:ascii="黑体" w:hAnsi="黑体" w:eastAsia="黑体"/>
          <w:bCs/>
          <w:lang w:eastAsia="zh-CN"/>
        </w:rPr>
        <w:t>单位</w:t>
      </w:r>
      <w:r>
        <w:rPr>
          <w:rFonts w:hint="eastAsia" w:ascii="黑体" w:hAnsi="黑体" w:eastAsia="黑体"/>
          <w:bCs/>
        </w:rPr>
        <w:t>决算情况说明</w:t>
      </w:r>
      <w:r>
        <w:tab/>
      </w:r>
      <w:r>
        <w:fldChar w:fldCharType="begin"/>
      </w:r>
      <w:r>
        <w:instrText xml:space="preserve"> PAGEREF _Toc109 \h </w:instrText>
      </w:r>
      <w:r>
        <w:fldChar w:fldCharType="separate"/>
      </w:r>
      <w:r>
        <w:t>3</w:t>
      </w:r>
      <w:r>
        <w:fldChar w:fldCharType="end"/>
      </w:r>
      <w:r>
        <w:rPr>
          <w:rFonts w:ascii="黑体" w:hAnsi="黑体" w:eastAsia="黑体" w:cstheme="minorBidi"/>
          <w:color w:val="auto"/>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_Toc4521 </w:instrText>
      </w:r>
      <w:r>
        <w:rPr>
          <w:rFonts w:hint="eastAsia" w:ascii="仿宋" w:hAnsi="仿宋" w:eastAsia="仿宋" w:cs="Times New Roman"/>
          <w:sz w:val="28"/>
          <w:szCs w:val="28"/>
        </w:rPr>
        <w:fldChar w:fldCharType="separate"/>
      </w:r>
      <w:r>
        <w:rPr>
          <w:rFonts w:hint="eastAsia" w:ascii="仿宋" w:hAnsi="仿宋" w:eastAsia="仿宋"/>
          <w:sz w:val="28"/>
          <w:szCs w:val="28"/>
        </w:rPr>
        <w:t>一、 收入支出决算总体情况说明</w:t>
      </w:r>
      <w:r>
        <w:rPr>
          <w:rFonts w:hint="eastAsia"/>
          <w:sz w:val="28"/>
          <w:szCs w:val="28"/>
        </w:rPr>
        <w:tab/>
      </w:r>
      <w:r>
        <w:rPr>
          <w:rFonts w:hint="eastAsia"/>
          <w:sz w:val="28"/>
          <w:szCs w:val="28"/>
        </w:rPr>
        <w:fldChar w:fldCharType="begin"/>
      </w:r>
      <w:r>
        <w:rPr>
          <w:rFonts w:hint="eastAsia"/>
          <w:sz w:val="28"/>
          <w:szCs w:val="28"/>
        </w:rPr>
        <w:instrText xml:space="preserve"> PAGEREF _Toc4521 \h </w:instrText>
      </w:r>
      <w:r>
        <w:rPr>
          <w:rFonts w:hint="eastAsia"/>
          <w:sz w:val="28"/>
          <w:szCs w:val="28"/>
        </w:rPr>
        <w:fldChar w:fldCharType="separate"/>
      </w:r>
      <w:r>
        <w:rPr>
          <w:rFonts w:hint="eastAsia"/>
          <w:sz w:val="28"/>
          <w:szCs w:val="28"/>
        </w:rPr>
        <w:t>3</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_Toc31551 </w:instrText>
      </w:r>
      <w:r>
        <w:rPr>
          <w:rFonts w:hint="eastAsia" w:ascii="仿宋" w:hAnsi="仿宋" w:eastAsia="仿宋" w:cs="Times New Roman"/>
          <w:sz w:val="28"/>
          <w:szCs w:val="28"/>
        </w:rPr>
        <w:fldChar w:fldCharType="separate"/>
      </w:r>
      <w:r>
        <w:rPr>
          <w:rFonts w:hint="eastAsia" w:ascii="仿宋" w:hAnsi="仿宋" w:eastAsia="仿宋"/>
          <w:sz w:val="28"/>
          <w:szCs w:val="28"/>
        </w:rPr>
        <w:t>二、 收入决算情况说明</w:t>
      </w:r>
      <w:r>
        <w:rPr>
          <w:rFonts w:hint="eastAsia"/>
          <w:sz w:val="28"/>
          <w:szCs w:val="28"/>
        </w:rPr>
        <w:tab/>
      </w:r>
      <w:r>
        <w:rPr>
          <w:rFonts w:hint="eastAsia"/>
          <w:sz w:val="28"/>
          <w:szCs w:val="28"/>
        </w:rPr>
        <w:fldChar w:fldCharType="begin"/>
      </w:r>
      <w:r>
        <w:rPr>
          <w:rFonts w:hint="eastAsia"/>
          <w:sz w:val="28"/>
          <w:szCs w:val="28"/>
        </w:rPr>
        <w:instrText xml:space="preserve"> PAGEREF _Toc31551 \h </w:instrText>
      </w:r>
      <w:r>
        <w:rPr>
          <w:rFonts w:hint="eastAsia"/>
          <w:sz w:val="28"/>
          <w:szCs w:val="28"/>
        </w:rPr>
        <w:fldChar w:fldCharType="separate"/>
      </w:r>
      <w:r>
        <w:rPr>
          <w:rFonts w:hint="eastAsia"/>
          <w:sz w:val="28"/>
          <w:szCs w:val="28"/>
        </w:rPr>
        <w:t>3</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_Toc23203 </w:instrText>
      </w:r>
      <w:r>
        <w:rPr>
          <w:rFonts w:hint="eastAsia" w:ascii="仿宋" w:hAnsi="仿宋" w:eastAsia="仿宋" w:cs="Times New Roman"/>
          <w:sz w:val="28"/>
          <w:szCs w:val="28"/>
        </w:rPr>
        <w:fldChar w:fldCharType="separate"/>
      </w:r>
      <w:r>
        <w:rPr>
          <w:rFonts w:hint="eastAsia" w:ascii="仿宋" w:hAnsi="仿宋" w:eastAsia="仿宋"/>
          <w:sz w:val="28"/>
          <w:szCs w:val="28"/>
        </w:rPr>
        <w:t>三、 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_Toc23203 \h </w:instrText>
      </w:r>
      <w:r>
        <w:rPr>
          <w:rFonts w:hint="eastAsia"/>
          <w:sz w:val="28"/>
          <w:szCs w:val="28"/>
        </w:rPr>
        <w:fldChar w:fldCharType="separate"/>
      </w:r>
      <w:r>
        <w:rPr>
          <w:rFonts w:hint="eastAsia"/>
          <w:sz w:val="28"/>
          <w:szCs w:val="28"/>
        </w:rPr>
        <w:t>4</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_Toc5559 </w:instrText>
      </w:r>
      <w:r>
        <w:rPr>
          <w:rFonts w:hint="eastAsia" w:ascii="仿宋" w:hAnsi="仿宋" w:eastAsia="仿宋" w:cs="Times New Roman"/>
          <w:sz w:val="28"/>
          <w:szCs w:val="28"/>
        </w:rPr>
        <w:fldChar w:fldCharType="separate"/>
      </w:r>
      <w:r>
        <w:rPr>
          <w:rFonts w:hint="eastAsia" w:ascii="仿宋" w:hAnsi="仿宋" w:eastAsia="仿宋"/>
          <w:sz w:val="28"/>
          <w:szCs w:val="28"/>
        </w:rPr>
        <w:t>四、财政拨款收入支出决算总体情况说明</w:t>
      </w:r>
      <w:r>
        <w:rPr>
          <w:rFonts w:hint="eastAsia"/>
          <w:sz w:val="28"/>
          <w:szCs w:val="28"/>
        </w:rPr>
        <w:tab/>
      </w:r>
      <w:r>
        <w:rPr>
          <w:rFonts w:hint="eastAsia"/>
          <w:sz w:val="28"/>
          <w:szCs w:val="28"/>
          <w:lang w:val="en-US" w:eastAsia="zh-CN"/>
        </w:rPr>
        <w:t>5</w:t>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_Toc30828 </w:instrText>
      </w:r>
      <w:r>
        <w:rPr>
          <w:rFonts w:hint="eastAsia" w:ascii="仿宋" w:hAnsi="仿宋" w:eastAsia="仿宋" w:cs="Times New Roman"/>
          <w:sz w:val="28"/>
          <w:szCs w:val="28"/>
        </w:rPr>
        <w:fldChar w:fldCharType="separate"/>
      </w:r>
      <w:r>
        <w:rPr>
          <w:rFonts w:hint="eastAsia" w:ascii="仿宋" w:hAnsi="仿宋" w:eastAsia="仿宋"/>
          <w:sz w:val="28"/>
          <w:szCs w:val="28"/>
        </w:rPr>
        <w:t>五、一般公共预算财政拨款支出决算情况说明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_Toc30828 \h </w:instrText>
      </w:r>
      <w:r>
        <w:rPr>
          <w:rFonts w:hint="eastAsia"/>
          <w:sz w:val="28"/>
          <w:szCs w:val="28"/>
        </w:rPr>
        <w:fldChar w:fldCharType="separate"/>
      </w:r>
      <w:r>
        <w:rPr>
          <w:rFonts w:hint="eastAsia"/>
          <w:sz w:val="28"/>
          <w:szCs w:val="28"/>
        </w:rPr>
        <w:t>5</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_Toc1260 </w:instrText>
      </w:r>
      <w:r>
        <w:rPr>
          <w:rFonts w:hint="eastAsia" w:ascii="仿宋" w:hAnsi="仿宋" w:eastAsia="仿宋" w:cs="Times New Roman"/>
          <w:sz w:val="28"/>
          <w:szCs w:val="28"/>
        </w:rPr>
        <w:fldChar w:fldCharType="separate"/>
      </w:r>
      <w:r>
        <w:rPr>
          <w:rFonts w:hint="eastAsia" w:ascii="仿宋" w:eastAsia="仿宋"/>
          <w:sz w:val="28"/>
          <w:szCs w:val="28"/>
        </w:rPr>
        <w:t>六、</w:t>
      </w:r>
      <w:r>
        <w:rPr>
          <w:rFonts w:hint="eastAsia" w:ascii="仿宋" w:hAnsi="仿宋" w:eastAsia="仿宋"/>
          <w:sz w:val="28"/>
          <w:szCs w:val="28"/>
        </w:rPr>
        <w:t>一般公共预算财政拨款基本支出决算情况说明</w:t>
      </w:r>
      <w:r>
        <w:rPr>
          <w:rFonts w:hint="eastAsia"/>
          <w:sz w:val="28"/>
          <w:szCs w:val="28"/>
        </w:rPr>
        <w:tab/>
      </w:r>
      <w:r>
        <w:rPr>
          <w:rFonts w:hint="eastAsia"/>
          <w:sz w:val="28"/>
          <w:szCs w:val="28"/>
          <w:lang w:val="en-US" w:eastAsia="zh-CN"/>
        </w:rPr>
        <w:t>8</w:t>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_Toc15423 </w:instrText>
      </w:r>
      <w:r>
        <w:rPr>
          <w:rFonts w:hint="eastAsia" w:ascii="仿宋" w:hAnsi="仿宋" w:eastAsia="仿宋" w:cs="Times New Roman"/>
          <w:sz w:val="28"/>
          <w:szCs w:val="28"/>
        </w:rPr>
        <w:fldChar w:fldCharType="separate"/>
      </w:r>
      <w:r>
        <w:rPr>
          <w:rFonts w:hint="eastAsia" w:ascii="仿宋" w:eastAsia="仿宋"/>
          <w:sz w:val="28"/>
          <w:szCs w:val="28"/>
        </w:rPr>
        <w:t>七、</w:t>
      </w:r>
      <w:r>
        <w:rPr>
          <w:rFonts w:hint="eastAsia" w:ascii="仿宋" w:hAnsi="仿宋" w:eastAsia="仿宋"/>
          <w:sz w:val="28"/>
          <w:szCs w:val="28"/>
        </w:rPr>
        <w:t>“三公”经费财政拨款支出决算情况说明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_Toc15423 \h </w:instrText>
      </w:r>
      <w:r>
        <w:rPr>
          <w:rFonts w:hint="eastAsia"/>
          <w:sz w:val="28"/>
          <w:szCs w:val="28"/>
        </w:rPr>
        <w:fldChar w:fldCharType="separate"/>
      </w:r>
      <w:r>
        <w:rPr>
          <w:rFonts w:hint="eastAsia"/>
          <w:sz w:val="28"/>
          <w:szCs w:val="28"/>
        </w:rPr>
        <w:t>8</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_Toc14606 </w:instrText>
      </w:r>
      <w:r>
        <w:rPr>
          <w:rFonts w:hint="eastAsia" w:ascii="仿宋" w:hAnsi="仿宋" w:eastAsia="仿宋" w:cs="Times New Roman"/>
          <w:sz w:val="28"/>
          <w:szCs w:val="28"/>
        </w:rPr>
        <w:fldChar w:fldCharType="separate"/>
      </w:r>
      <w:r>
        <w:rPr>
          <w:rFonts w:hint="eastAsia" w:ascii="仿宋" w:eastAsia="仿宋"/>
          <w:sz w:val="28"/>
          <w:szCs w:val="28"/>
        </w:rPr>
        <w:t>八、</w:t>
      </w:r>
      <w:r>
        <w:rPr>
          <w:rFonts w:hint="eastAsia" w:ascii="仿宋" w:hAnsi="仿宋" w:eastAsia="仿宋"/>
          <w:sz w:val="28"/>
          <w:szCs w:val="28"/>
        </w:rPr>
        <w:t>政府性基金预算支出决算情况说明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_Toc14606 \h </w:instrText>
      </w:r>
      <w:r>
        <w:rPr>
          <w:rFonts w:hint="eastAsia"/>
          <w:sz w:val="28"/>
          <w:szCs w:val="28"/>
        </w:rPr>
        <w:fldChar w:fldCharType="separate"/>
      </w:r>
      <w:r>
        <w:rPr>
          <w:rFonts w:hint="eastAsia"/>
          <w:sz w:val="28"/>
          <w:szCs w:val="28"/>
        </w:rPr>
        <w:t>8</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_Toc24870 </w:instrText>
      </w:r>
      <w:r>
        <w:rPr>
          <w:rFonts w:hint="eastAsia" w:ascii="仿宋" w:hAnsi="仿宋" w:eastAsia="仿宋" w:cs="Times New Roman"/>
          <w:sz w:val="28"/>
          <w:szCs w:val="28"/>
        </w:rPr>
        <w:fldChar w:fldCharType="separate"/>
      </w:r>
      <w:r>
        <w:rPr>
          <w:rFonts w:hint="eastAsia" w:ascii="仿宋" w:hAnsi="仿宋" w:eastAsia="仿宋"/>
          <w:sz w:val="28"/>
          <w:szCs w:val="28"/>
        </w:rPr>
        <w:t>九、 国有资本经营预算支出决算情况说明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_Toc24870 \h </w:instrText>
      </w:r>
      <w:r>
        <w:rPr>
          <w:rFonts w:hint="eastAsia"/>
          <w:sz w:val="28"/>
          <w:szCs w:val="28"/>
        </w:rPr>
        <w:fldChar w:fldCharType="separate"/>
      </w:r>
      <w:r>
        <w:rPr>
          <w:rFonts w:hint="eastAsia"/>
          <w:sz w:val="28"/>
          <w:szCs w:val="28"/>
        </w:rPr>
        <w:t>8</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_Toc3700 </w:instrText>
      </w:r>
      <w:r>
        <w:rPr>
          <w:rFonts w:hint="eastAsia" w:ascii="仿宋" w:hAnsi="仿宋" w:eastAsia="仿宋" w:cs="Times New Roman"/>
          <w:sz w:val="28"/>
          <w:szCs w:val="28"/>
        </w:rPr>
        <w:fldChar w:fldCharType="separate"/>
      </w:r>
      <w:r>
        <w:rPr>
          <w:rFonts w:hint="eastAsia" w:ascii="仿宋" w:hAnsi="仿宋" w:eastAsia="仿宋"/>
          <w:sz w:val="28"/>
          <w:szCs w:val="28"/>
        </w:rPr>
        <w:t>十、 其他重要事项的情况说明</w:t>
      </w:r>
      <w:r>
        <w:rPr>
          <w:rFonts w:hint="eastAsia"/>
          <w:sz w:val="28"/>
          <w:szCs w:val="28"/>
        </w:rPr>
        <w:tab/>
      </w:r>
      <w:r>
        <w:rPr>
          <w:rFonts w:hint="eastAsia"/>
          <w:sz w:val="28"/>
          <w:szCs w:val="28"/>
          <w:lang w:val="en-US" w:eastAsia="zh-CN"/>
        </w:rPr>
        <w:t>9</w:t>
      </w:r>
      <w:r>
        <w:rPr>
          <w:rFonts w:hint="eastAsia" w:ascii="仿宋" w:hAnsi="仿宋" w:eastAsia="仿宋" w:cs="Times New Roman"/>
          <w:color w:val="auto"/>
          <w:sz w:val="28"/>
          <w:szCs w:val="28"/>
        </w:rPr>
        <w:fldChar w:fldCharType="end"/>
      </w:r>
    </w:p>
    <w:p>
      <w:pPr>
        <w:pStyle w:val="10"/>
        <w:adjustRightInd w:val="0"/>
        <w:snapToGrid w:val="0"/>
        <w:spacing w:before="0" w:line="440" w:lineRule="exact"/>
        <w:jc w:val="left"/>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_Toc12243 </w:instrText>
      </w:r>
      <w:r>
        <w:rPr>
          <w:rFonts w:ascii="黑体" w:hAnsi="黑体" w:eastAsia="黑体" w:cstheme="minorBidi"/>
          <w:szCs w:val="28"/>
        </w:rP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_Toc12243 \h </w:instrText>
      </w:r>
      <w:r>
        <w:fldChar w:fldCharType="separate"/>
      </w:r>
      <w:r>
        <w:t>1</w:t>
      </w:r>
      <w:r>
        <w:rPr>
          <w:rFonts w:hint="eastAsia"/>
          <w:lang w:val="en-US" w:eastAsia="zh-CN"/>
        </w:rPr>
        <w:t>6</w:t>
      </w:r>
      <w:r>
        <w:fldChar w:fldCharType="end"/>
      </w:r>
      <w:r>
        <w:rPr>
          <w:rFonts w:ascii="黑体" w:hAnsi="黑体" w:eastAsia="黑体" w:cstheme="minorBidi"/>
          <w:color w:val="auto"/>
          <w:szCs w:val="28"/>
        </w:rPr>
        <w:fldChar w:fldCharType="end"/>
      </w:r>
    </w:p>
    <w:p>
      <w:pPr>
        <w:pStyle w:val="10"/>
        <w:adjustRightInd w:val="0"/>
        <w:snapToGrid w:val="0"/>
        <w:spacing w:before="0" w:line="440" w:lineRule="exact"/>
        <w:jc w:val="left"/>
        <w:rPr>
          <w:rFonts w:hint="eastAsia" w:eastAsia="黑体"/>
          <w:lang w:val="en-US" w:eastAsia="zh-CN"/>
        </w:rPr>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_Toc26782 </w:instrText>
      </w:r>
      <w:r>
        <w:rPr>
          <w:rFonts w:ascii="黑体" w:hAnsi="黑体" w:eastAsia="黑体" w:cstheme="minorBidi"/>
          <w:szCs w:val="28"/>
        </w:rPr>
        <w:fldChar w:fldCharType="separate"/>
      </w:r>
      <w:r>
        <w:rPr>
          <w:rFonts w:hint="eastAsia" w:ascii="黑体" w:hAnsi="黑体" w:eastAsia="黑体"/>
          <w:szCs w:val="44"/>
        </w:rPr>
        <w:t>第</w:t>
      </w:r>
      <w:r>
        <w:rPr>
          <w:rFonts w:hint="eastAsia" w:ascii="黑体" w:hAnsi="黑体" w:eastAsia="黑体"/>
        </w:rPr>
        <w:t>四部分 附件</w:t>
      </w:r>
      <w:r>
        <w:tab/>
      </w:r>
      <w:r>
        <w:rPr>
          <w:rFonts w:hint="eastAsia"/>
          <w:lang w:val="en-US" w:eastAsia="zh-CN"/>
        </w:rPr>
        <w:t>1</w:t>
      </w:r>
      <w:r>
        <w:rPr>
          <w:rFonts w:ascii="黑体" w:hAnsi="黑体" w:eastAsia="黑体" w:cstheme="minorBidi"/>
          <w:color w:val="auto"/>
          <w:szCs w:val="28"/>
        </w:rPr>
        <w:fldChar w:fldCharType="end"/>
      </w:r>
      <w:r>
        <w:rPr>
          <w:rFonts w:hint="eastAsia" w:ascii="黑体" w:hAnsi="黑体" w:eastAsia="黑体" w:cstheme="minorBidi"/>
          <w:color w:val="auto"/>
          <w:szCs w:val="28"/>
          <w:lang w:val="en-US" w:eastAsia="zh-CN"/>
        </w:rPr>
        <w:t>8</w:t>
      </w:r>
    </w:p>
    <w:p>
      <w:pPr>
        <w:pStyle w:val="10"/>
        <w:adjustRightInd w:val="0"/>
        <w:snapToGrid w:val="0"/>
        <w:spacing w:before="0" w:line="440" w:lineRule="exact"/>
        <w:jc w:val="left"/>
        <w:rPr>
          <w:rFonts w:hint="eastAsia" w:eastAsia="黑体"/>
          <w:lang w:val="en-US" w:eastAsia="zh-CN"/>
        </w:rPr>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_Toc22985 </w:instrText>
      </w:r>
      <w:r>
        <w:rPr>
          <w:rFonts w:ascii="黑体" w:hAnsi="黑体" w:eastAsia="黑体" w:cstheme="minorBidi"/>
          <w:szCs w:val="28"/>
        </w:rPr>
        <w:fldChar w:fldCharType="separate"/>
      </w:r>
      <w:r>
        <w:rPr>
          <w:rFonts w:hint="eastAsia" w:ascii="黑体" w:hAnsi="黑体" w:eastAsia="黑体"/>
          <w:szCs w:val="44"/>
        </w:rPr>
        <w:t>第</w:t>
      </w:r>
      <w:r>
        <w:rPr>
          <w:rFonts w:hint="eastAsia" w:ascii="黑体" w:hAnsi="黑体" w:eastAsia="黑体"/>
        </w:rPr>
        <w:t>五部分 附表</w:t>
      </w:r>
      <w:r>
        <w:tab/>
      </w:r>
      <w:r>
        <w:rPr>
          <w:rFonts w:hint="eastAsia"/>
          <w:lang w:val="en-US" w:eastAsia="zh-CN"/>
        </w:rPr>
        <w:t>4</w:t>
      </w:r>
      <w:r>
        <w:rPr>
          <w:rFonts w:ascii="黑体" w:hAnsi="黑体" w:eastAsia="黑体" w:cstheme="minorBidi"/>
          <w:color w:val="auto"/>
          <w:szCs w:val="28"/>
        </w:rPr>
        <w:fldChar w:fldCharType="end"/>
      </w:r>
      <w:r>
        <w:rPr>
          <w:rFonts w:hint="eastAsia" w:ascii="黑体" w:hAnsi="黑体" w:eastAsia="黑体" w:cstheme="minorBidi"/>
          <w:color w:val="auto"/>
          <w:szCs w:val="28"/>
          <w:lang w:val="en-US" w:eastAsia="zh-CN"/>
        </w:rPr>
        <w:t>8</w:t>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_Toc10832 </w:instrText>
      </w:r>
      <w:r>
        <w:rPr>
          <w:rFonts w:ascii="黑体" w:hAnsi="黑体" w:eastAsia="黑体" w:cstheme="minorBidi"/>
          <w:sz w:val="28"/>
          <w:szCs w:val="28"/>
        </w:rPr>
        <w:fldChar w:fldCharType="separate"/>
      </w:r>
      <w:r>
        <w:rPr>
          <w:rFonts w:hint="eastAsia" w:ascii="仿宋" w:hAnsi="仿宋" w:eastAsia="仿宋"/>
          <w:sz w:val="28"/>
          <w:szCs w:val="28"/>
        </w:rPr>
        <w:t>一、收</w:t>
      </w:r>
      <w:r>
        <w:rPr>
          <w:rFonts w:hint="eastAsia" w:ascii="仿宋" w:hAnsi="仿宋" w:eastAsia="仿宋"/>
          <w:bCs w:val="0"/>
          <w:sz w:val="28"/>
          <w:szCs w:val="28"/>
        </w:rPr>
        <w:t>入支出决算总表</w:t>
      </w:r>
      <w:r>
        <w:rPr>
          <w:sz w:val="28"/>
          <w:szCs w:val="28"/>
        </w:rPr>
        <w:tab/>
      </w:r>
      <w:r>
        <w:rPr>
          <w:sz w:val="28"/>
          <w:szCs w:val="28"/>
        </w:rPr>
        <w:fldChar w:fldCharType="begin"/>
      </w:r>
      <w:r>
        <w:rPr>
          <w:sz w:val="28"/>
          <w:szCs w:val="28"/>
        </w:rPr>
        <w:instrText xml:space="preserve"> PAGEREF _Toc10832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_Toc10392 </w:instrText>
      </w:r>
      <w:r>
        <w:rPr>
          <w:rFonts w:ascii="黑体" w:hAnsi="黑体" w:eastAsia="黑体" w:cstheme="minorBidi"/>
          <w:sz w:val="28"/>
          <w:szCs w:val="28"/>
        </w:rPr>
        <w:fldChar w:fldCharType="separate"/>
      </w:r>
      <w:r>
        <w:rPr>
          <w:rFonts w:hint="eastAsia" w:ascii="仿宋" w:hAnsi="仿宋" w:eastAsia="仿宋"/>
          <w:sz w:val="28"/>
          <w:szCs w:val="28"/>
        </w:rPr>
        <w:t>二、收</w:t>
      </w:r>
      <w:r>
        <w:rPr>
          <w:rFonts w:hint="eastAsia" w:ascii="仿宋" w:hAnsi="仿宋" w:eastAsia="仿宋"/>
          <w:bCs w:val="0"/>
          <w:sz w:val="28"/>
          <w:szCs w:val="28"/>
        </w:rPr>
        <w:t>入决算表</w:t>
      </w:r>
      <w:r>
        <w:rPr>
          <w:sz w:val="28"/>
          <w:szCs w:val="28"/>
        </w:rPr>
        <w:tab/>
      </w:r>
      <w:r>
        <w:rPr>
          <w:sz w:val="28"/>
          <w:szCs w:val="28"/>
        </w:rPr>
        <w:fldChar w:fldCharType="begin"/>
      </w:r>
      <w:r>
        <w:rPr>
          <w:sz w:val="28"/>
          <w:szCs w:val="28"/>
        </w:rPr>
        <w:instrText xml:space="preserve"> PAGEREF _Toc10392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hint="eastAsia" w:eastAsia="黑体"/>
          <w:sz w:val="28"/>
          <w:szCs w:val="28"/>
          <w:lang w:val="en-US" w:eastAsia="zh-CN"/>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_Toc2647 </w:instrText>
      </w:r>
      <w:r>
        <w:rPr>
          <w:rFonts w:ascii="黑体" w:hAnsi="黑体" w:eastAsia="黑体" w:cstheme="minorBidi"/>
          <w:sz w:val="28"/>
          <w:szCs w:val="28"/>
        </w:rPr>
        <w:fldChar w:fldCharType="separate"/>
      </w:r>
      <w:r>
        <w:rPr>
          <w:rFonts w:hint="eastAsia" w:ascii="仿宋" w:hAnsi="仿宋" w:eastAsia="仿宋"/>
          <w:bCs w:val="0"/>
          <w:sz w:val="28"/>
          <w:szCs w:val="28"/>
        </w:rPr>
        <w:t>三、</w:t>
      </w:r>
      <w:r>
        <w:rPr>
          <w:rFonts w:hint="eastAsia" w:ascii="仿宋" w:hAnsi="仿宋" w:eastAsia="仿宋"/>
          <w:sz w:val="28"/>
          <w:szCs w:val="28"/>
        </w:rPr>
        <w:t>支</w:t>
      </w:r>
      <w:r>
        <w:rPr>
          <w:rFonts w:hint="eastAsia" w:ascii="仿宋" w:hAnsi="仿宋" w:eastAsia="仿宋"/>
          <w:bCs w:val="0"/>
          <w:sz w:val="28"/>
          <w:szCs w:val="28"/>
        </w:rPr>
        <w:t>出决算表</w:t>
      </w:r>
      <w:r>
        <w:rPr>
          <w:sz w:val="28"/>
          <w:szCs w:val="28"/>
        </w:rPr>
        <w:tab/>
      </w:r>
      <w:r>
        <w:rPr>
          <w:rFonts w:hint="eastAsia"/>
          <w:sz w:val="28"/>
          <w:szCs w:val="28"/>
          <w:lang w:val="en-US" w:eastAsia="zh-CN"/>
        </w:rPr>
        <w:t>4</w:t>
      </w:r>
      <w:r>
        <w:rPr>
          <w:rFonts w:ascii="黑体" w:hAnsi="黑体" w:eastAsia="黑体" w:cstheme="minorBidi"/>
          <w:color w:val="auto"/>
          <w:sz w:val="28"/>
          <w:szCs w:val="28"/>
        </w:rPr>
        <w:fldChar w:fldCharType="end"/>
      </w:r>
      <w:r>
        <w:rPr>
          <w:rFonts w:hint="eastAsia" w:ascii="黑体" w:hAnsi="黑体" w:eastAsia="黑体" w:cstheme="minorBidi"/>
          <w:color w:val="auto"/>
          <w:sz w:val="28"/>
          <w:szCs w:val="28"/>
          <w:lang w:val="en-US" w:eastAsia="zh-CN"/>
        </w:rPr>
        <w:t>8</w:t>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_Toc2756 </w:instrText>
      </w:r>
      <w:r>
        <w:rPr>
          <w:rFonts w:ascii="黑体" w:hAnsi="黑体" w:eastAsia="黑体" w:cstheme="minorBidi"/>
          <w:sz w:val="28"/>
          <w:szCs w:val="28"/>
        </w:rPr>
        <w:fldChar w:fldCharType="separate"/>
      </w:r>
      <w:r>
        <w:rPr>
          <w:rFonts w:hint="eastAsia" w:ascii="仿宋" w:hAnsi="仿宋" w:eastAsia="仿宋"/>
          <w:bCs w:val="0"/>
          <w:sz w:val="28"/>
          <w:szCs w:val="28"/>
        </w:rPr>
        <w:t>四、</w:t>
      </w:r>
      <w:r>
        <w:rPr>
          <w:rFonts w:hint="eastAsia" w:ascii="仿宋" w:hAnsi="仿宋" w:eastAsia="仿宋"/>
          <w:sz w:val="28"/>
          <w:szCs w:val="28"/>
        </w:rPr>
        <w:t>财</w:t>
      </w:r>
      <w:r>
        <w:rPr>
          <w:rFonts w:hint="eastAsia" w:ascii="仿宋" w:hAnsi="仿宋" w:eastAsia="仿宋"/>
          <w:bCs w:val="0"/>
          <w:sz w:val="28"/>
          <w:szCs w:val="28"/>
        </w:rPr>
        <w:t>政拨款收入支出决算总表</w:t>
      </w:r>
      <w:r>
        <w:rPr>
          <w:sz w:val="28"/>
          <w:szCs w:val="28"/>
        </w:rPr>
        <w:tab/>
      </w:r>
      <w:r>
        <w:rPr>
          <w:sz w:val="28"/>
          <w:szCs w:val="28"/>
        </w:rPr>
        <w:fldChar w:fldCharType="begin"/>
      </w:r>
      <w:r>
        <w:rPr>
          <w:sz w:val="28"/>
          <w:szCs w:val="28"/>
        </w:rPr>
        <w:instrText xml:space="preserve"> PAGEREF _Toc2756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_Toc9780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五</w:t>
      </w:r>
      <w:r>
        <w:rPr>
          <w:rFonts w:hint="eastAsia" w:ascii="仿宋" w:hAnsi="仿宋" w:eastAsia="仿宋"/>
          <w:bCs w:val="0"/>
          <w:sz w:val="28"/>
          <w:szCs w:val="28"/>
        </w:rPr>
        <w:t>、</w:t>
      </w:r>
      <w:r>
        <w:rPr>
          <w:rStyle w:val="26"/>
          <w:rFonts w:hint="eastAsia" w:ascii="仿宋" w:hAnsi="仿宋" w:eastAsia="仿宋"/>
          <w:b w:val="0"/>
          <w:bCs w:val="0"/>
          <w:lang w:eastAsia="zh-CN"/>
        </w:rPr>
        <w:t>财政拨款支出决算明细表</w:t>
      </w:r>
      <w:r>
        <w:rPr>
          <w:sz w:val="28"/>
          <w:szCs w:val="28"/>
        </w:rPr>
        <w:tab/>
      </w:r>
      <w:r>
        <w:rPr>
          <w:sz w:val="28"/>
          <w:szCs w:val="28"/>
        </w:rPr>
        <w:fldChar w:fldCharType="begin"/>
      </w:r>
      <w:r>
        <w:rPr>
          <w:sz w:val="28"/>
          <w:szCs w:val="28"/>
        </w:rPr>
        <w:instrText xml:space="preserve"> PAGEREF _Toc9780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_Toc5288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六</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一般公共预算财政拨款支出决算表</w:t>
      </w:r>
      <w:r>
        <w:rPr>
          <w:sz w:val="28"/>
          <w:szCs w:val="28"/>
        </w:rPr>
        <w:tab/>
      </w:r>
      <w:r>
        <w:rPr>
          <w:sz w:val="28"/>
          <w:szCs w:val="28"/>
        </w:rPr>
        <w:fldChar w:fldCharType="begin"/>
      </w:r>
      <w:r>
        <w:rPr>
          <w:sz w:val="28"/>
          <w:szCs w:val="28"/>
        </w:rPr>
        <w:instrText xml:space="preserve"> PAGEREF _Toc5288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七</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一般公共预算财政拨款支出决算明细表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_Toc23914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八</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一般公共预算财政拨款基本支出决算表</w:t>
      </w:r>
      <w:r>
        <w:rPr>
          <w:sz w:val="28"/>
          <w:szCs w:val="28"/>
        </w:rPr>
        <w:tab/>
      </w:r>
      <w:r>
        <w:rPr>
          <w:sz w:val="28"/>
          <w:szCs w:val="28"/>
        </w:rPr>
        <w:fldChar w:fldCharType="begin"/>
      </w:r>
      <w:r>
        <w:rPr>
          <w:sz w:val="28"/>
          <w:szCs w:val="28"/>
        </w:rPr>
        <w:instrText xml:space="preserve"> PAGEREF _Toc23914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九</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一般公共预算财政拨款项目支出决算表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一般公共预算财政拨款“三公”经费支出决算表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十一</w:t>
      </w:r>
      <w:r>
        <w:rPr>
          <w:rFonts w:hint="eastAsia" w:ascii="仿宋" w:hAnsi="仿宋" w:eastAsia="仿宋"/>
          <w:bCs w:val="0"/>
          <w:sz w:val="28"/>
          <w:szCs w:val="28"/>
        </w:rPr>
        <w:t>、</w:t>
      </w:r>
      <w:r>
        <w:rPr>
          <w:rStyle w:val="26"/>
          <w:rFonts w:hint="eastAsia" w:ascii="仿宋" w:hAnsi="仿宋" w:eastAsia="仿宋"/>
          <w:b w:val="0"/>
          <w:bCs w:val="0"/>
          <w:lang w:eastAsia="zh-CN"/>
        </w:rPr>
        <w:t>政府性基金预算财政拨款收入支出决算表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left="1399" w:leftChars="266" w:hanging="840" w:hangingChars="3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十二</w:t>
      </w:r>
      <w:r>
        <w:rPr>
          <w:rFonts w:hint="eastAsia" w:ascii="仿宋" w:hAnsi="仿宋" w:eastAsia="仿宋"/>
          <w:bCs w:val="0"/>
          <w:sz w:val="28"/>
          <w:szCs w:val="28"/>
        </w:rPr>
        <w:t>、</w:t>
      </w:r>
      <w:r>
        <w:rPr>
          <w:rStyle w:val="26"/>
          <w:rFonts w:hint="eastAsia" w:ascii="仿宋" w:hAnsi="仿宋" w:eastAsia="仿宋"/>
          <w:b w:val="0"/>
          <w:bCs w:val="0"/>
          <w:lang w:eastAsia="zh-CN"/>
        </w:rPr>
        <w:t>政府性基金预算财政拨款“三公”经费支出决算表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十三</w:t>
      </w:r>
      <w:r>
        <w:rPr>
          <w:rFonts w:hint="eastAsia" w:ascii="仿宋" w:hAnsi="仿宋" w:eastAsia="仿宋"/>
          <w:bCs w:val="0"/>
          <w:sz w:val="28"/>
          <w:szCs w:val="28"/>
        </w:rPr>
        <w:t>、</w:t>
      </w:r>
      <w:r>
        <w:rPr>
          <w:rStyle w:val="26"/>
          <w:rFonts w:hint="eastAsia" w:ascii="仿宋" w:hAnsi="仿宋" w:eastAsia="仿宋"/>
          <w:b w:val="0"/>
          <w:bCs w:val="0"/>
          <w:lang w:eastAsia="zh-CN"/>
        </w:rPr>
        <w:t>国有资本经营预算财政拨款收入支出决算表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十四</w:t>
      </w:r>
      <w:r>
        <w:rPr>
          <w:rFonts w:hint="eastAsia" w:ascii="仿宋" w:hAnsi="仿宋" w:eastAsia="仿宋"/>
          <w:bCs w:val="0"/>
          <w:sz w:val="28"/>
          <w:szCs w:val="28"/>
        </w:rPr>
        <w:t>、</w:t>
      </w:r>
      <w:r>
        <w:rPr>
          <w:rStyle w:val="26"/>
          <w:rFonts w:hint="eastAsia" w:ascii="仿宋" w:hAnsi="仿宋" w:eastAsia="仿宋"/>
          <w:b w:val="0"/>
          <w:bCs w:val="0"/>
          <w:lang w:eastAsia="zh-CN"/>
        </w:rPr>
        <w:t>国有资本经营预算财政拨款支出决算表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8</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rFonts w:ascii="黑体" w:hAnsi="黑体" w:eastAsia="黑体" w:cstheme="minorBidi"/>
          <w:color w:val="auto"/>
          <w:sz w:val="28"/>
          <w:szCs w:val="28"/>
        </w:rPr>
      </w:pPr>
    </w:p>
    <w:p/>
    <w:p>
      <w:pPr>
        <w:pStyle w:val="10"/>
        <w:widowControl/>
        <w:adjustRightInd w:val="0"/>
        <w:snapToGrid w:val="0"/>
        <w:spacing w:line="440" w:lineRule="exact"/>
        <w:jc w:val="left"/>
        <w:rPr>
          <w:rFonts w:ascii="黑体" w:hAnsi="黑体" w:eastAsia="黑体" w:cstheme="minorBidi"/>
          <w:color w:val="auto"/>
          <w:sz w:val="28"/>
          <w:szCs w:val="28"/>
        </w:rPr>
      </w:pPr>
      <w:r>
        <w:rPr>
          <w:rFonts w:ascii="黑体" w:hAnsi="黑体" w:eastAsia="黑体" w:cstheme="minorBidi"/>
          <w:color w:val="auto"/>
          <w:szCs w:val="28"/>
        </w:rPr>
        <w:fldChar w:fldCharType="end"/>
      </w:r>
    </w:p>
    <w:p>
      <w:pPr>
        <w:pStyle w:val="3"/>
        <w:ind w:firstLine="1760" w:firstLineChars="400"/>
        <w:jc w:val="both"/>
        <w:rPr>
          <w:rFonts w:hint="eastAsia" w:ascii="黑体" w:hAnsi="黑体" w:eastAsia="黑体"/>
          <w:b w:val="0"/>
          <w:color w:val="auto"/>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20" w:name="_Toc15396599"/>
      <w:bookmarkStart w:id="21" w:name="_Toc15377196"/>
    </w:p>
    <w:p>
      <w:pPr>
        <w:pStyle w:val="3"/>
        <w:ind w:firstLine="2200" w:firstLineChars="500"/>
        <w:jc w:val="both"/>
        <w:rPr>
          <w:rFonts w:ascii="黑体" w:eastAsia="黑体"/>
          <w:color w:val="auto"/>
          <w:sz w:val="44"/>
          <w:szCs w:val="44"/>
        </w:rPr>
      </w:pPr>
      <w:bookmarkStart w:id="22" w:name="_Toc25359"/>
      <w:bookmarkStart w:id="23" w:name="_Toc1453"/>
      <w:bookmarkStart w:id="24" w:name="_Toc3444"/>
      <w:bookmarkStart w:id="25" w:name="_Toc3054"/>
      <w:r>
        <w:rPr>
          <w:rFonts w:hint="eastAsia" w:ascii="黑体" w:hAnsi="黑体" w:eastAsia="黑体"/>
          <w:b w:val="0"/>
          <w:color w:val="auto"/>
          <w:sz w:val="44"/>
          <w:szCs w:val="44"/>
        </w:rPr>
        <w:t xml:space="preserve">第一部分 </w:t>
      </w:r>
      <w:r>
        <w:rPr>
          <w:rFonts w:hint="eastAsia" w:ascii="黑体" w:hAnsi="黑体" w:eastAsia="黑体"/>
          <w:b w:val="0"/>
          <w:color w:val="auto"/>
          <w:sz w:val="44"/>
          <w:szCs w:val="44"/>
          <w:lang w:eastAsia="zh-CN"/>
        </w:rPr>
        <w:t>单位</w:t>
      </w:r>
      <w:r>
        <w:rPr>
          <w:rStyle w:val="25"/>
          <w:rFonts w:hint="eastAsia" w:ascii="黑体" w:hAnsi="黑体" w:eastAsia="黑体"/>
          <w:b w:val="0"/>
          <w:bCs w:val="0"/>
          <w:color w:val="auto"/>
          <w:sz w:val="44"/>
          <w:szCs w:val="44"/>
        </w:rPr>
        <w:t>概况</w:t>
      </w:r>
      <w:bookmarkEnd w:id="20"/>
      <w:bookmarkEnd w:id="21"/>
      <w:bookmarkEnd w:id="22"/>
      <w:bookmarkEnd w:id="23"/>
      <w:bookmarkEnd w:id="24"/>
      <w:bookmarkEnd w:id="25"/>
    </w:p>
    <w:p>
      <w:pPr>
        <w:pStyle w:val="4"/>
        <w:numPr>
          <w:ilvl w:val="0"/>
          <w:numId w:val="0"/>
        </w:numPr>
        <w:rPr>
          <w:rFonts w:hint="eastAsia"/>
          <w:color w:val="auto"/>
        </w:rPr>
      </w:pPr>
      <w:bookmarkStart w:id="26" w:name="_Toc14417"/>
      <w:bookmarkStart w:id="27" w:name="_Toc2449"/>
      <w:bookmarkStart w:id="28" w:name="_Toc15396600"/>
      <w:bookmarkStart w:id="29" w:name="_Toc15377197"/>
      <w:r>
        <w:rPr>
          <w:rStyle w:val="26"/>
          <w:rFonts w:hint="eastAsia" w:ascii="黑体" w:hAnsi="黑体" w:eastAsia="黑体"/>
          <w:b w:val="0"/>
          <w:bCs w:val="0"/>
          <w:color w:val="auto"/>
          <w:lang w:eastAsia="zh-CN"/>
        </w:rPr>
        <w:t>一、</w:t>
      </w:r>
      <w:r>
        <w:rPr>
          <w:rStyle w:val="26"/>
          <w:rFonts w:hint="eastAsia" w:ascii="黑体" w:hAnsi="黑体" w:eastAsia="黑体"/>
          <w:b w:val="0"/>
          <w:bCs w:val="0"/>
          <w:color w:val="auto"/>
        </w:rPr>
        <w:t>职能</w:t>
      </w:r>
      <w:r>
        <w:rPr>
          <w:rStyle w:val="26"/>
          <w:rFonts w:hint="eastAsia" w:ascii="黑体" w:hAnsi="黑体" w:eastAsia="黑体"/>
          <w:b w:val="0"/>
          <w:bCs w:val="0"/>
          <w:color w:val="auto"/>
          <w:lang w:eastAsia="zh-CN"/>
        </w:rPr>
        <w:t>简介</w:t>
      </w:r>
      <w:bookmarkEnd w:id="26"/>
      <w:bookmarkEnd w:id="27"/>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主要职能：本单位主要为国家建设提供地矿勘查服务,承担水文地质、工程地质勘查、</w:t>
      </w:r>
      <w:r>
        <w:rPr>
          <w:rFonts w:hint="eastAsia" w:ascii="仿宋" w:hAnsi="仿宋" w:eastAsia="仿宋"/>
          <w:color w:val="auto"/>
          <w:sz w:val="32"/>
          <w:szCs w:val="32"/>
          <w:lang w:eastAsia="zh-CN"/>
        </w:rPr>
        <w:t>地下</w:t>
      </w:r>
      <w:r>
        <w:rPr>
          <w:rFonts w:hint="eastAsia" w:ascii="仿宋" w:hAnsi="仿宋" w:eastAsia="仿宋"/>
          <w:color w:val="auto"/>
          <w:sz w:val="32"/>
          <w:szCs w:val="32"/>
        </w:rPr>
        <w:t>水及地热井钻探、桩基、地下连续墙、软弱地基、特钟钻凿工程施工、开展技术咨询服务等。</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机构情况：本单位是一家独立编制、独立核算的事业单位，机构无变动情况。</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人员情况：本单位2020年度年末在职人员520人，较上年度减少19人，离休人员5人，较上年度减少0人,均为按政策正常增减差额形成。</w:t>
      </w:r>
    </w:p>
    <w:p>
      <w:pPr>
        <w:pStyle w:val="4"/>
        <w:numPr>
          <w:ilvl w:val="0"/>
          <w:numId w:val="0"/>
        </w:numPr>
        <w:rPr>
          <w:rFonts w:hint="eastAsia" w:ascii="黑体" w:hAnsi="黑体" w:eastAsia="黑体"/>
          <w:b w:val="0"/>
          <w:color w:val="auto"/>
          <w:highlight w:val="none"/>
        </w:rPr>
      </w:pPr>
      <w:bookmarkStart w:id="30" w:name="_Toc25420"/>
      <w:bookmarkStart w:id="31" w:name="_Toc21922"/>
      <w:r>
        <w:rPr>
          <w:rStyle w:val="26"/>
          <w:rFonts w:hint="eastAsia" w:ascii="黑体" w:hAnsi="黑体" w:eastAsia="黑体"/>
          <w:b w:val="0"/>
          <w:bCs w:val="0"/>
          <w:color w:val="auto"/>
          <w:highlight w:val="none"/>
          <w:lang w:val="en-US" w:eastAsia="zh-CN"/>
        </w:rPr>
        <w:t>二、2020年重点</w:t>
      </w:r>
      <w:r>
        <w:rPr>
          <w:rStyle w:val="26"/>
          <w:rFonts w:hint="eastAsia" w:ascii="黑体" w:hAnsi="黑体" w:eastAsia="黑体"/>
          <w:b w:val="0"/>
          <w:bCs w:val="0"/>
          <w:color w:val="auto"/>
          <w:highlight w:val="none"/>
        </w:rPr>
        <w:t>工作</w:t>
      </w:r>
      <w:r>
        <w:rPr>
          <w:rStyle w:val="26"/>
          <w:rFonts w:hint="eastAsia" w:ascii="黑体" w:hAnsi="黑体" w:eastAsia="黑体"/>
          <w:b w:val="0"/>
          <w:bCs w:val="0"/>
          <w:color w:val="auto"/>
          <w:highlight w:val="none"/>
          <w:lang w:eastAsia="zh-CN"/>
        </w:rPr>
        <w:t>完成情况</w:t>
      </w:r>
      <w:bookmarkEnd w:id="30"/>
      <w:bookmarkEnd w:id="31"/>
    </w:p>
    <w:p>
      <w:pPr>
        <w:pStyle w:val="4"/>
        <w:numPr>
          <w:ilvl w:val="0"/>
          <w:numId w:val="1"/>
        </w:numPr>
        <w:ind w:firstLine="640"/>
        <w:rPr>
          <w:rFonts w:hint="eastAsia" w:ascii="仿宋" w:hAnsi="仿宋" w:eastAsia="仿宋" w:cs="Times New Roman"/>
          <w:b w:val="0"/>
          <w:bCs w:val="0"/>
          <w:color w:val="auto"/>
          <w:kern w:val="2"/>
          <w:sz w:val="32"/>
          <w:szCs w:val="32"/>
          <w:lang w:val="en-US" w:eastAsia="zh-CN" w:bidi="ar-SA"/>
        </w:rPr>
      </w:pPr>
      <w:bookmarkStart w:id="32" w:name="_Toc13860"/>
      <w:bookmarkStart w:id="33" w:name="_Toc17796"/>
      <w:r>
        <w:rPr>
          <w:rFonts w:hint="eastAsia" w:ascii="仿宋" w:hAnsi="仿宋" w:eastAsia="仿宋" w:cs="Times New Roman"/>
          <w:b w:val="0"/>
          <w:bCs w:val="0"/>
          <w:color w:val="auto"/>
          <w:kern w:val="2"/>
          <w:sz w:val="32"/>
          <w:szCs w:val="32"/>
          <w:lang w:val="en-US" w:eastAsia="zh-CN" w:bidi="ar-SA"/>
        </w:rPr>
        <w:t>坚持全面加强党的领导，推动上级决策部署落地落实，</w:t>
      </w:r>
      <w:r>
        <w:rPr>
          <w:rFonts w:hint="eastAsia" w:ascii="仿宋" w:hAnsi="仿宋" w:eastAsia="仿宋" w:cs="Times New Roman"/>
          <w:b w:val="0"/>
          <w:bCs w:val="0"/>
          <w:color w:val="auto"/>
        </w:rPr>
        <w:t>打好新冠肺炎疫情防控阻击战</w:t>
      </w:r>
      <w:r>
        <w:rPr>
          <w:rFonts w:hint="eastAsia" w:ascii="仿宋" w:hAnsi="仿宋" w:eastAsia="仿宋" w:cs="Times New Roman"/>
          <w:b w:val="0"/>
          <w:bCs w:val="0"/>
          <w:color w:val="auto"/>
          <w:lang w:eastAsia="zh-CN"/>
        </w:rPr>
        <w:t>，</w:t>
      </w:r>
      <w:r>
        <w:rPr>
          <w:rFonts w:hint="eastAsia" w:ascii="仿宋" w:hAnsi="仿宋" w:eastAsia="仿宋" w:cs="Times New Roman"/>
          <w:b w:val="0"/>
          <w:bCs w:val="0"/>
          <w:color w:val="auto"/>
        </w:rPr>
        <w:t>众志成</w:t>
      </w:r>
      <w:r>
        <w:rPr>
          <w:rFonts w:hint="eastAsia" w:ascii="仿宋" w:hAnsi="仿宋" w:eastAsia="仿宋" w:cs="Times New Roman"/>
          <w:b w:val="0"/>
          <w:bCs w:val="0"/>
          <w:color w:val="auto"/>
          <w:lang w:eastAsia="zh-CN"/>
        </w:rPr>
        <w:t>诚，</w:t>
      </w:r>
      <w:r>
        <w:rPr>
          <w:rFonts w:hint="eastAsia" w:ascii="仿宋" w:hAnsi="仿宋" w:eastAsia="仿宋" w:cs="Times New Roman"/>
          <w:b w:val="0"/>
          <w:bCs w:val="0"/>
          <w:color w:val="auto"/>
        </w:rPr>
        <w:t>生产经营管理工作再上新台</w:t>
      </w:r>
      <w:r>
        <w:rPr>
          <w:rFonts w:hint="eastAsia" w:ascii="仿宋" w:hAnsi="仿宋" w:eastAsia="仿宋" w:cs="Times New Roman"/>
          <w:b w:val="0"/>
          <w:bCs w:val="0"/>
          <w:color w:val="auto"/>
          <w:lang w:eastAsia="zh-CN"/>
        </w:rPr>
        <w:t>阶，</w:t>
      </w:r>
      <w:r>
        <w:rPr>
          <w:rFonts w:hint="eastAsia" w:ascii="仿宋" w:hAnsi="仿宋" w:eastAsia="仿宋" w:cs="Times New Roman"/>
          <w:b w:val="0"/>
          <w:bCs w:val="0"/>
          <w:color w:val="auto"/>
          <w:kern w:val="2"/>
          <w:sz w:val="32"/>
          <w:szCs w:val="32"/>
          <w:lang w:val="en-US" w:eastAsia="zh-CN" w:bidi="ar-SA"/>
        </w:rPr>
        <w:t>确保国有资产增值保值。</w:t>
      </w:r>
      <w:bookmarkEnd w:id="32"/>
      <w:bookmarkEnd w:id="33"/>
    </w:p>
    <w:p>
      <w:pPr>
        <w:pStyle w:val="4"/>
        <w:numPr>
          <w:ilvl w:val="-1"/>
          <w:numId w:val="0"/>
        </w:numPr>
        <w:ind w:firstLine="640" w:firstLineChars="200"/>
        <w:rPr>
          <w:rFonts w:hint="eastAsia" w:ascii="仿宋" w:hAnsi="仿宋" w:eastAsia="仿宋" w:cs="Times New Roman"/>
          <w:b w:val="0"/>
          <w:bCs w:val="0"/>
          <w:color w:val="auto"/>
          <w:kern w:val="2"/>
          <w:sz w:val="32"/>
          <w:szCs w:val="32"/>
          <w:lang w:val="en-US" w:eastAsia="zh-CN" w:bidi="ar-SA"/>
        </w:rPr>
      </w:pPr>
      <w:bookmarkStart w:id="34" w:name="_Toc29868"/>
      <w:bookmarkStart w:id="35" w:name="_Toc2833"/>
      <w:r>
        <w:rPr>
          <w:rFonts w:hint="eastAsia" w:ascii="仿宋" w:hAnsi="仿宋" w:eastAsia="仿宋" w:cs="Times New Roman"/>
          <w:b w:val="0"/>
          <w:bCs w:val="0"/>
          <w:color w:val="auto"/>
          <w:kern w:val="2"/>
          <w:sz w:val="32"/>
          <w:szCs w:val="32"/>
          <w:lang w:val="en-US" w:eastAsia="zh-CN" w:bidi="ar-SA"/>
        </w:rPr>
        <w:t>（2）紧跟国家政策导向，</w:t>
      </w:r>
      <w:r>
        <w:rPr>
          <w:rFonts w:hint="eastAsia" w:ascii="仿宋" w:hAnsi="仿宋" w:eastAsia="仿宋" w:cs="Times New Roman"/>
          <w:b w:val="0"/>
          <w:bCs w:val="0"/>
          <w:color w:val="auto"/>
        </w:rPr>
        <w:t>积极响应国家生态环境大保护战略，大力实施“地质+生态环境”战略</w:t>
      </w:r>
      <w:r>
        <w:rPr>
          <w:rFonts w:hint="eastAsia" w:ascii="仿宋" w:hAnsi="仿宋" w:eastAsia="仿宋" w:cs="Times New Roman"/>
          <w:b w:val="0"/>
          <w:bCs w:val="0"/>
          <w:color w:val="auto"/>
          <w:lang w:eastAsia="zh-CN"/>
        </w:rPr>
        <w:t>等，</w:t>
      </w:r>
      <w:r>
        <w:rPr>
          <w:rFonts w:hint="eastAsia" w:ascii="仿宋" w:hAnsi="仿宋" w:eastAsia="仿宋" w:cs="Times New Roman"/>
          <w:b w:val="0"/>
          <w:bCs w:val="0"/>
          <w:color w:val="auto"/>
          <w:kern w:val="2"/>
          <w:sz w:val="32"/>
          <w:szCs w:val="32"/>
          <w:lang w:val="en-US" w:eastAsia="zh-CN" w:bidi="ar-SA"/>
        </w:rPr>
        <w:t>准确做好公益性地质工作。</w:t>
      </w:r>
      <w:bookmarkEnd w:id="34"/>
      <w:bookmarkEnd w:id="35"/>
    </w:p>
    <w:p>
      <w:pPr>
        <w:pStyle w:val="4"/>
        <w:numPr>
          <w:ilvl w:val="-1"/>
          <w:numId w:val="0"/>
        </w:numPr>
        <w:ind w:firstLine="640" w:firstLineChars="200"/>
        <w:rPr>
          <w:rFonts w:hint="eastAsia" w:ascii="仿宋" w:hAnsi="仿宋" w:eastAsia="仿宋" w:cs="Times New Roman"/>
          <w:b w:val="0"/>
          <w:bCs w:val="0"/>
          <w:color w:val="auto"/>
          <w:kern w:val="2"/>
          <w:sz w:val="32"/>
          <w:szCs w:val="32"/>
          <w:lang w:val="en-US" w:eastAsia="zh-CN" w:bidi="ar-SA"/>
        </w:rPr>
      </w:pPr>
      <w:bookmarkStart w:id="36" w:name="_Toc20056"/>
      <w:bookmarkStart w:id="37" w:name="_Toc29887"/>
      <w:r>
        <w:rPr>
          <w:rFonts w:hint="eastAsia" w:ascii="仿宋" w:hAnsi="仿宋" w:eastAsia="仿宋" w:cs="Times New Roman"/>
          <w:b w:val="0"/>
          <w:bCs w:val="0"/>
          <w:color w:val="auto"/>
          <w:kern w:val="2"/>
          <w:sz w:val="32"/>
          <w:szCs w:val="32"/>
          <w:lang w:val="en-US" w:eastAsia="zh-CN" w:bidi="ar-SA"/>
        </w:rPr>
        <w:t>（3）按照省委省政府和地矿局统一部署，</w:t>
      </w:r>
      <w:r>
        <w:rPr>
          <w:rFonts w:hint="eastAsia" w:ascii="仿宋" w:hAnsi="仿宋" w:eastAsia="仿宋" w:cs="Times New Roman"/>
          <w:b w:val="0"/>
          <w:bCs w:val="0"/>
          <w:color w:val="auto"/>
        </w:rPr>
        <w:t>以事业单位、国有企业改革为抓手，统筹推进体制机制建</w:t>
      </w:r>
      <w:r>
        <w:rPr>
          <w:rFonts w:hint="eastAsia" w:ascii="仿宋" w:hAnsi="仿宋" w:eastAsia="仿宋" w:cs="Times New Roman"/>
          <w:b w:val="0"/>
          <w:bCs w:val="0"/>
          <w:color w:val="auto"/>
          <w:lang w:eastAsia="zh-CN"/>
        </w:rPr>
        <w:t>设，</w:t>
      </w:r>
      <w:r>
        <w:rPr>
          <w:rFonts w:hint="eastAsia" w:ascii="仿宋" w:hAnsi="仿宋" w:eastAsia="仿宋" w:cs="Times New Roman"/>
          <w:b w:val="0"/>
          <w:bCs w:val="0"/>
          <w:color w:val="auto"/>
          <w:kern w:val="2"/>
          <w:sz w:val="32"/>
          <w:szCs w:val="32"/>
          <w:lang w:val="en-US" w:eastAsia="zh-CN" w:bidi="ar-SA"/>
        </w:rPr>
        <w:t>做好全队事业单位改革工作。</w:t>
      </w:r>
      <w:bookmarkEnd w:id="36"/>
      <w:bookmarkEnd w:id="37"/>
    </w:p>
    <w:p>
      <w:pPr>
        <w:ind w:firstLine="640" w:firstLineChars="200"/>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（4）紧抓人才建设，强化人才培养，增加单位核心竞争力。</w:t>
      </w:r>
    </w:p>
    <w:p>
      <w:pPr>
        <w:pStyle w:val="4"/>
        <w:numPr>
          <w:ilvl w:val="-1"/>
          <w:numId w:val="0"/>
        </w:numPr>
        <w:spacing w:after="0"/>
        <w:ind w:firstLine="640" w:firstLineChars="200"/>
        <w:rPr>
          <w:rFonts w:hint="eastAsia" w:ascii="仿宋" w:hAnsi="仿宋" w:eastAsia="仿宋" w:cs="Times New Roman"/>
          <w:b w:val="0"/>
          <w:bCs w:val="0"/>
          <w:color w:val="auto"/>
          <w:lang w:eastAsia="zh-CN"/>
        </w:rPr>
      </w:pPr>
      <w:bookmarkStart w:id="38" w:name="_Toc8505"/>
      <w:bookmarkStart w:id="39" w:name="_Toc19424"/>
      <w:r>
        <w:rPr>
          <w:rFonts w:hint="eastAsia" w:ascii="仿宋" w:hAnsi="仿宋" w:eastAsia="仿宋" w:cs="Times New Roman"/>
          <w:b w:val="0"/>
          <w:bCs w:val="0"/>
          <w:color w:val="auto"/>
          <w:kern w:val="2"/>
          <w:sz w:val="32"/>
          <w:szCs w:val="32"/>
          <w:lang w:val="en-US" w:eastAsia="zh-CN" w:bidi="ar-SA"/>
        </w:rPr>
        <w:t>（5）大力推进创新驱动发展，实施地质+、数字地质战略，</w:t>
      </w:r>
      <w:r>
        <w:rPr>
          <w:rFonts w:hint="eastAsia" w:ascii="仿宋" w:hAnsi="仿宋" w:eastAsia="仿宋" w:cs="Times New Roman"/>
          <w:b w:val="0"/>
          <w:bCs w:val="0"/>
          <w:color w:val="auto"/>
        </w:rPr>
        <w:t>内外联动，切实提升我队科技实力</w:t>
      </w:r>
      <w:r>
        <w:rPr>
          <w:rFonts w:hint="eastAsia" w:ascii="仿宋" w:hAnsi="仿宋" w:eastAsia="仿宋" w:cs="Times New Roman"/>
          <w:b w:val="0"/>
          <w:bCs w:val="0"/>
          <w:color w:val="auto"/>
          <w:lang w:eastAsia="zh-CN"/>
        </w:rPr>
        <w:t>。</w:t>
      </w:r>
      <w:bookmarkEnd w:id="38"/>
      <w:bookmarkEnd w:id="39"/>
    </w:p>
    <w:p>
      <w:pPr>
        <w:pStyle w:val="4"/>
        <w:numPr>
          <w:ilvl w:val="0"/>
          <w:numId w:val="0"/>
        </w:numPr>
        <w:rPr>
          <w:rStyle w:val="26"/>
          <w:rFonts w:hint="eastAsia" w:ascii="黑体" w:hAnsi="黑体" w:eastAsia="黑体"/>
          <w:b w:val="0"/>
          <w:bCs w:val="0"/>
          <w:color w:val="auto"/>
          <w:highlight w:val="none"/>
          <w:lang w:eastAsia="zh-CN"/>
        </w:rPr>
      </w:pPr>
      <w:r>
        <w:rPr>
          <w:rStyle w:val="26"/>
          <w:rFonts w:hint="eastAsia" w:ascii="黑体" w:hAnsi="黑体" w:eastAsia="黑体"/>
          <w:b w:val="0"/>
          <w:bCs w:val="0"/>
          <w:color w:val="auto"/>
          <w:highlight w:val="none"/>
          <w:lang w:val="en-US" w:eastAsia="zh-CN"/>
        </w:rPr>
        <w:t>三、机构设置</w:t>
      </w:r>
      <w:r>
        <w:rPr>
          <w:rStyle w:val="26"/>
          <w:rFonts w:hint="eastAsia" w:ascii="黑体" w:hAnsi="黑体" w:eastAsia="黑体"/>
          <w:b w:val="0"/>
          <w:bCs w:val="0"/>
          <w:color w:val="auto"/>
          <w:highlight w:val="none"/>
          <w:lang w:eastAsia="zh-CN"/>
        </w:rPr>
        <w:t>情况</w:t>
      </w:r>
    </w:p>
    <w:p>
      <w:pPr>
        <w:ind w:firstLine="640" w:firstLineChars="200"/>
        <w:rPr>
          <w:rFonts w:hint="default" w:ascii="仿宋" w:hAnsi="仿宋" w:eastAsia="仿宋" w:cs="Times New Roman"/>
          <w:b w:val="0"/>
          <w:bCs w:val="0"/>
          <w:color w:val="auto"/>
          <w:kern w:val="2"/>
          <w:sz w:val="32"/>
          <w:szCs w:val="32"/>
          <w:lang w:val="en-US" w:eastAsia="zh-CN" w:bidi="ar-SA"/>
        </w:rPr>
      </w:pPr>
      <w:bookmarkStart w:id="158" w:name="_GoBack"/>
      <w:bookmarkEnd w:id="158"/>
      <w:r>
        <w:rPr>
          <w:rFonts w:hint="eastAsia" w:ascii="仿宋" w:hAnsi="仿宋" w:eastAsia="仿宋" w:cs="Times New Roman"/>
          <w:b w:val="0"/>
          <w:bCs w:val="0"/>
          <w:color w:val="auto"/>
          <w:kern w:val="2"/>
          <w:sz w:val="32"/>
          <w:szCs w:val="32"/>
          <w:lang w:val="en-US" w:eastAsia="zh-CN" w:bidi="ar-SA"/>
        </w:rPr>
        <w:t>本单位由9个职能部门构成，分别是：综合管理部、党群工作部、纪检监察室、财务部、质量安全环境部、市场管理部、审计部、事业发展部、科技创新部。</w:t>
      </w:r>
    </w:p>
    <w:p>
      <w:pPr>
        <w:pStyle w:val="2"/>
        <w:rPr>
          <w:rFonts w:hint="eastAsia"/>
        </w:rPr>
      </w:pPr>
    </w:p>
    <w:bookmarkEnd w:id="28"/>
    <w:bookmarkEnd w:id="29"/>
    <w:p>
      <w:pPr>
        <w:pStyle w:val="3"/>
        <w:ind w:right="440"/>
        <w:jc w:val="center"/>
        <w:rPr>
          <w:color w:val="auto"/>
        </w:rPr>
      </w:pPr>
      <w:bookmarkStart w:id="40" w:name="_Toc16575"/>
      <w:bookmarkStart w:id="41" w:name="_Toc27098"/>
      <w:bookmarkStart w:id="42" w:name="_Toc6734"/>
      <w:bookmarkStart w:id="43" w:name="_Toc15396602"/>
      <w:bookmarkStart w:id="44" w:name="_Toc109"/>
      <w:bookmarkStart w:id="45" w:name="_Toc15377204"/>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5"/>
          <w:rFonts w:hint="eastAsia" w:ascii="黑体" w:hAnsi="黑体" w:eastAsia="黑体"/>
          <w:b w:val="0"/>
          <w:bCs/>
          <w:color w:val="auto"/>
          <w:lang w:eastAsia="zh-CN"/>
        </w:rPr>
        <w:t>单位</w:t>
      </w:r>
      <w:r>
        <w:rPr>
          <w:rStyle w:val="25"/>
          <w:rFonts w:hint="eastAsia" w:ascii="黑体" w:hAnsi="黑体" w:eastAsia="黑体"/>
          <w:b w:val="0"/>
          <w:bCs/>
          <w:color w:val="auto"/>
        </w:rPr>
        <w:t>决算情况说明</w:t>
      </w:r>
      <w:bookmarkEnd w:id="40"/>
      <w:bookmarkEnd w:id="41"/>
      <w:bookmarkEnd w:id="42"/>
      <w:bookmarkEnd w:id="43"/>
      <w:bookmarkEnd w:id="44"/>
      <w:bookmarkEnd w:id="45"/>
    </w:p>
    <w:p>
      <w:pPr>
        <w:pStyle w:val="24"/>
        <w:numPr>
          <w:ilvl w:val="0"/>
          <w:numId w:val="2"/>
        </w:numPr>
        <w:spacing w:line="600" w:lineRule="exact"/>
        <w:ind w:firstLineChars="0"/>
        <w:outlineLvl w:val="1"/>
        <w:rPr>
          <w:rStyle w:val="26"/>
          <w:rFonts w:ascii="黑体" w:hAnsi="黑体" w:eastAsia="黑体"/>
          <w:b w:val="0"/>
          <w:color w:val="auto"/>
        </w:rPr>
      </w:pPr>
      <w:bookmarkStart w:id="46" w:name="_Toc15377205"/>
      <w:bookmarkStart w:id="47" w:name="_Toc15396603"/>
      <w:bookmarkStart w:id="48" w:name="_Toc4521"/>
      <w:bookmarkStart w:id="49" w:name="_Toc26967"/>
      <w:r>
        <w:rPr>
          <w:rFonts w:hint="eastAsia" w:ascii="黑体" w:hAnsi="黑体" w:eastAsia="黑体"/>
          <w:color w:val="auto"/>
          <w:sz w:val="32"/>
          <w:szCs w:val="32"/>
        </w:rPr>
        <w:t>收</w:t>
      </w:r>
      <w:r>
        <w:rPr>
          <w:rStyle w:val="26"/>
          <w:rFonts w:hint="eastAsia" w:ascii="黑体" w:hAnsi="黑体" w:eastAsia="黑体"/>
          <w:b w:val="0"/>
          <w:color w:val="auto"/>
        </w:rPr>
        <w:t>入支出决算总体情况说明</w:t>
      </w:r>
      <w:bookmarkEnd w:id="46"/>
      <w:bookmarkEnd w:id="47"/>
      <w:bookmarkEnd w:id="48"/>
      <w:bookmarkEnd w:id="49"/>
    </w:p>
    <w:p>
      <w:pPr>
        <w:ind w:firstLine="640" w:firstLineChars="200"/>
        <w:rPr>
          <w:rFonts w:hint="eastAsia" w:ascii="仿宋" w:hAnsi="仿宋" w:eastAsia="仿宋_GB2312"/>
          <w:color w:val="auto"/>
          <w:sz w:val="32"/>
          <w:szCs w:val="32"/>
          <w:lang w:eastAsia="zh-CN"/>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年度收、支总计</w:t>
      </w:r>
      <w:r>
        <w:rPr>
          <w:rFonts w:hint="eastAsia" w:ascii="仿宋" w:hAnsi="仿宋" w:eastAsia="仿宋"/>
          <w:color w:val="auto"/>
          <w:sz w:val="32"/>
          <w:szCs w:val="32"/>
          <w:lang w:val="en-US" w:eastAsia="zh-CN"/>
        </w:rPr>
        <w:t>11127.11</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w:t>
      </w:r>
      <w:r>
        <w:rPr>
          <w:rFonts w:hint="eastAsia" w:ascii="仿宋" w:hAnsi="仿宋" w:eastAsia="仿宋"/>
          <w:color w:val="auto"/>
          <w:sz w:val="32"/>
          <w:szCs w:val="32"/>
          <w:lang w:eastAsia="zh-CN"/>
        </w:rPr>
        <w:t>的</w:t>
      </w:r>
      <w:r>
        <w:rPr>
          <w:rFonts w:hint="eastAsia" w:ascii="仿宋" w:hAnsi="仿宋" w:eastAsia="仿宋"/>
          <w:color w:val="auto"/>
          <w:sz w:val="32"/>
          <w:szCs w:val="32"/>
          <w:lang w:val="en-US" w:eastAsia="zh-CN"/>
        </w:rPr>
        <w:t>7506.15万元</w:t>
      </w:r>
      <w:r>
        <w:rPr>
          <w:rFonts w:hint="eastAsia" w:ascii="仿宋" w:hAnsi="仿宋" w:eastAsia="仿宋"/>
          <w:color w:val="auto"/>
          <w:sz w:val="32"/>
          <w:szCs w:val="32"/>
        </w:rPr>
        <w:t>相比，收、支总计各增加</w:t>
      </w:r>
      <w:r>
        <w:rPr>
          <w:rFonts w:hint="eastAsia" w:ascii="仿宋" w:hAnsi="仿宋" w:eastAsia="仿宋"/>
          <w:color w:val="auto"/>
          <w:sz w:val="32"/>
          <w:szCs w:val="32"/>
          <w:lang w:val="en-US" w:eastAsia="zh-CN"/>
        </w:rPr>
        <w:t>3620.96</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48.24</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_GB2312" w:hAnsi="仿宋_GB2312" w:eastAsia="仿宋_GB2312" w:cs="仿宋_GB2312"/>
          <w:color w:val="000000"/>
          <w:sz w:val="32"/>
          <w:szCs w:val="32"/>
          <w:lang w:eastAsia="zh-CN"/>
        </w:rPr>
        <w:t>是增加四川省</w:t>
      </w:r>
      <w:r>
        <w:rPr>
          <w:rFonts w:hint="eastAsia" w:ascii="仿宋_GB2312" w:hAnsi="仿宋_GB2312" w:eastAsia="仿宋_GB2312" w:cs="仿宋_GB2312"/>
          <w:color w:val="000000"/>
          <w:sz w:val="32"/>
          <w:szCs w:val="32"/>
        </w:rPr>
        <w:t>重点行业企业用地土壤调查</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拨款</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p>
    <w:p>
      <w:pPr>
        <w:spacing w:line="600" w:lineRule="exact"/>
        <w:ind w:firstLine="640" w:firstLineChars="200"/>
      </w:pPr>
      <w:r>
        <w:rPr>
          <w:rFonts w:hint="eastAsia" w:ascii="仿宋" w:hAnsi="仿宋" w:eastAsia="仿宋"/>
          <w:color w:val="auto"/>
          <w:sz w:val="32"/>
          <w:szCs w:val="32"/>
        </w:rPr>
        <w:t>收、支决算总计变动情况</w:t>
      </w:r>
      <w:r>
        <w:rPr>
          <w:rFonts w:hint="eastAsia" w:ascii="仿宋" w:hAnsi="仿宋" w:eastAsia="仿宋"/>
          <w:color w:val="auto"/>
          <w:sz w:val="32"/>
          <w:szCs w:val="32"/>
          <w:lang w:eastAsia="zh-CN"/>
        </w:rPr>
        <w:t>如下</w:t>
      </w:r>
      <w:r>
        <w:rPr>
          <w:rFonts w:hint="eastAsia" w:ascii="仿宋" w:hAnsi="仿宋" w:eastAsia="仿宋"/>
          <w:color w:val="auto"/>
          <w:sz w:val="32"/>
          <w:szCs w:val="32"/>
        </w:rPr>
        <w:t>图</w:t>
      </w:r>
      <w:r>
        <w:rPr>
          <w:rFonts w:hint="eastAsia" w:ascii="仿宋" w:hAnsi="仿宋" w:eastAsia="仿宋"/>
          <w:color w:val="auto"/>
          <w:sz w:val="32"/>
          <w:szCs w:val="32"/>
          <w:lang w:eastAsia="zh-CN"/>
        </w:rPr>
        <w:t>：</w:t>
      </w:r>
    </w:p>
    <w:p>
      <w:pPr>
        <w:pStyle w:val="2"/>
      </w:pPr>
      <w:r>
        <w:rPr>
          <w:sz w:val="30"/>
        </w:rPr>
        <mc:AlternateContent>
          <mc:Choice Requires="wps">
            <w:drawing>
              <wp:anchor distT="0" distB="0" distL="114300" distR="114300" simplePos="0" relativeHeight="251661312" behindDoc="0" locked="0" layoutInCell="1" allowOverlap="1">
                <wp:simplePos x="0" y="0"/>
                <wp:positionH relativeFrom="column">
                  <wp:posOffset>4375785</wp:posOffset>
                </wp:positionH>
                <wp:positionV relativeFrom="paragraph">
                  <wp:posOffset>403225</wp:posOffset>
                </wp:positionV>
                <wp:extent cx="856615" cy="304800"/>
                <wp:effectExtent l="0" t="0" r="635" b="0"/>
                <wp:wrapNone/>
                <wp:docPr id="8" name="文本框 8"/>
                <wp:cNvGraphicFramePr/>
                <a:graphic xmlns:a="http://schemas.openxmlformats.org/drawingml/2006/main">
                  <a:graphicData uri="http://schemas.microsoft.com/office/word/2010/wordprocessingShape">
                    <wps:wsp>
                      <wps:cNvSpPr txBox="1"/>
                      <wps:spPr>
                        <a:xfrm>
                          <a:off x="5518785" y="1317625"/>
                          <a:ext cx="856615" cy="304800"/>
                        </a:xfrm>
                        <a:prstGeom prst="rect">
                          <a:avLst/>
                        </a:prstGeom>
                        <a:solidFill>
                          <a:schemeClr val="bg1">
                            <a:lumMod val="9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18"/>
                                <w:szCs w:val="18"/>
                                <w:lang w:val="en-US" w:eastAsia="zh-CN"/>
                              </w:rPr>
                            </w:pPr>
                            <w:r>
                              <w:rPr>
                                <w:rFonts w:hint="eastAsia"/>
                                <w:sz w:val="18"/>
                                <w:szCs w:val="18"/>
                                <w:lang w:val="en-US"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55pt;margin-top:31.75pt;height:24pt;width:67.45pt;z-index:251661312;mso-width-relative:page;mso-height-relative:page;" fillcolor="#F2F2F2 [3052]" filled="t" stroked="f" coordsize="21600,21600" o:gfxdata="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H9ArZ1QAAAAoBAAAPAAAAAAAAAAEAIAAAACIAAABkcnMvZG93bnJldi54bWxQ&#10;SwECFAAUAAAACACHTuJAx5q9j2wCAAC8BAAADgAAAAAAAAABACAAAAAkAQAAZHJzL2Uyb0RvYy54&#10;bWxQSwUGAAAAAAYABgBZAQAAAgYAAAAA&#10;">
                <v:fill on="t" focussize="0,0"/>
                <v:stroke on="f" weight="0.5pt"/>
                <v:imagedata o:title=""/>
                <o:lock v:ext="edit" aspectratio="f"/>
                <v:textbox>
                  <w:txbxContent>
                    <w:p>
                      <w:pPr>
                        <w:rPr>
                          <w:rFonts w:hint="eastAsia" w:eastAsia="宋体"/>
                          <w:sz w:val="18"/>
                          <w:szCs w:val="18"/>
                          <w:lang w:val="en-US" w:eastAsia="zh-CN"/>
                        </w:rPr>
                      </w:pPr>
                      <w:r>
                        <w:rPr>
                          <w:rFonts w:hint="eastAsia"/>
                          <w:sz w:val="18"/>
                          <w:szCs w:val="18"/>
                          <w:lang w:val="en-US" w:eastAsia="zh-CN"/>
                        </w:rPr>
                        <w:t>单位：万元</w:t>
                      </w:r>
                    </w:p>
                  </w:txbxContent>
                </v:textbox>
              </v:shape>
            </w:pict>
          </mc:Fallback>
        </mc:AlternateContent>
      </w:r>
      <w:r>
        <w:drawing>
          <wp:inline distT="0" distB="0" distL="114300" distR="114300">
            <wp:extent cx="5285105" cy="2781300"/>
            <wp:effectExtent l="4445" t="4445" r="6350" b="1460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4"/>
        <w:numPr>
          <w:ilvl w:val="0"/>
          <w:numId w:val="2"/>
        </w:numPr>
        <w:spacing w:line="600" w:lineRule="exact"/>
        <w:ind w:firstLineChars="0"/>
        <w:outlineLvl w:val="1"/>
        <w:rPr>
          <w:rStyle w:val="26"/>
          <w:rFonts w:ascii="黑体" w:hAnsi="黑体" w:eastAsia="黑体"/>
          <w:b w:val="0"/>
          <w:color w:val="auto"/>
        </w:rPr>
      </w:pPr>
      <w:bookmarkStart w:id="50" w:name="_Toc31551"/>
      <w:bookmarkStart w:id="51" w:name="_Toc18226"/>
      <w:bookmarkStart w:id="52" w:name="_Toc15396604"/>
      <w:bookmarkStart w:id="53" w:name="_Toc15377206"/>
      <w:r>
        <w:rPr>
          <w:rFonts w:hint="eastAsia" w:ascii="黑体" w:hAnsi="黑体" w:eastAsia="黑体"/>
          <w:color w:val="auto"/>
          <w:sz w:val="32"/>
          <w:szCs w:val="32"/>
        </w:rPr>
        <w:t>收</w:t>
      </w:r>
      <w:r>
        <w:rPr>
          <w:rStyle w:val="26"/>
          <w:rFonts w:hint="eastAsia" w:ascii="黑体" w:hAnsi="黑体" w:eastAsia="黑体"/>
          <w:b w:val="0"/>
          <w:color w:val="auto"/>
        </w:rPr>
        <w:t>入决算情况说明</w:t>
      </w:r>
      <w:bookmarkEnd w:id="50"/>
      <w:bookmarkEnd w:id="51"/>
      <w:bookmarkEnd w:id="52"/>
      <w:bookmarkEnd w:id="53"/>
    </w:p>
    <w:p>
      <w:pPr>
        <w:spacing w:line="600" w:lineRule="exact"/>
        <w:ind w:firstLine="640" w:firstLineChars="200"/>
        <w:outlineLvl w:val="1"/>
        <w:rPr>
          <w:rFonts w:ascii="仿宋" w:hAnsi="仿宋" w:eastAsia="仿宋"/>
          <w:color w:val="auto"/>
          <w:sz w:val="32"/>
          <w:szCs w:val="32"/>
        </w:rPr>
      </w:pPr>
      <w:bookmarkStart w:id="54" w:name="_Toc10445"/>
      <w:bookmarkStart w:id="55" w:name="_Toc8029"/>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年本年收入合计</w:t>
      </w:r>
      <w:r>
        <w:rPr>
          <w:rFonts w:hint="eastAsia" w:ascii="仿宋" w:hAnsi="仿宋" w:eastAsia="仿宋"/>
          <w:color w:val="auto"/>
          <w:sz w:val="32"/>
          <w:szCs w:val="32"/>
          <w:lang w:val="en-US" w:eastAsia="zh-CN"/>
        </w:rPr>
        <w:t>10371.90</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97.32</w:t>
      </w:r>
      <w:r>
        <w:rPr>
          <w:rFonts w:ascii="仿宋" w:hAnsi="仿宋" w:eastAsia="仿宋"/>
          <w:color w:val="auto"/>
          <w:sz w:val="32"/>
          <w:szCs w:val="32"/>
        </w:rPr>
        <w:t>%</w:t>
      </w:r>
      <w:r>
        <w:rPr>
          <w:rFonts w:hint="eastAsia" w:ascii="仿宋" w:hAnsi="仿宋" w:eastAsia="仿宋"/>
          <w:color w:val="auto"/>
          <w:sz w:val="32"/>
          <w:szCs w:val="32"/>
        </w:rPr>
        <w:t>；经营收入</w:t>
      </w:r>
      <w:r>
        <w:rPr>
          <w:rFonts w:hint="eastAsia" w:ascii="仿宋" w:hAnsi="仿宋" w:eastAsia="仿宋"/>
          <w:color w:val="auto"/>
          <w:sz w:val="32"/>
          <w:szCs w:val="32"/>
          <w:lang w:val="en-US" w:eastAsia="zh-CN"/>
        </w:rPr>
        <w:t>116.10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1.12</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160.83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1.56</w:t>
      </w:r>
      <w:r>
        <w:rPr>
          <w:rFonts w:ascii="仿宋" w:hAnsi="仿宋" w:eastAsia="仿宋"/>
          <w:color w:val="auto"/>
          <w:sz w:val="32"/>
          <w:szCs w:val="32"/>
        </w:rPr>
        <w:t>%</w:t>
      </w:r>
      <w:r>
        <w:rPr>
          <w:rFonts w:hint="eastAsia" w:ascii="仿宋" w:hAnsi="仿宋" w:eastAsia="仿宋"/>
          <w:color w:val="auto"/>
          <w:sz w:val="32"/>
          <w:szCs w:val="32"/>
          <w:lang w:eastAsia="zh-CN"/>
        </w:rPr>
        <w:t>。</w:t>
      </w:r>
      <w:bookmarkEnd w:id="54"/>
      <w:bookmarkEnd w:id="55"/>
    </w:p>
    <w:p>
      <w:pPr>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收入决算结构图</w:t>
      </w:r>
      <w:r>
        <w:rPr>
          <w:rFonts w:hint="eastAsia" w:ascii="仿宋" w:hAnsi="仿宋" w:eastAsia="仿宋"/>
          <w:color w:val="auto"/>
          <w:sz w:val="32"/>
          <w:szCs w:val="32"/>
          <w:lang w:eastAsia="zh-CN"/>
        </w:rPr>
        <w:t>如下：</w:t>
      </w:r>
    </w:p>
    <w:p>
      <w:pPr>
        <w:pStyle w:val="2"/>
        <w:rPr>
          <w:rFonts w:hint="eastAsia"/>
          <w:lang w:eastAsia="zh-CN"/>
        </w:rPr>
      </w:pPr>
      <w:r>
        <w:drawing>
          <wp:inline distT="0" distB="0" distL="114300" distR="114300">
            <wp:extent cx="5248275" cy="2818765"/>
            <wp:effectExtent l="4445" t="4445" r="5080" b="15240"/>
            <wp:docPr id="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4"/>
        <w:numPr>
          <w:ilvl w:val="0"/>
          <w:numId w:val="2"/>
        </w:numPr>
        <w:spacing w:line="600" w:lineRule="exact"/>
        <w:ind w:firstLineChars="0"/>
        <w:outlineLvl w:val="1"/>
        <w:rPr>
          <w:rStyle w:val="26"/>
          <w:rFonts w:ascii="黑体" w:hAnsi="黑体" w:eastAsia="黑体"/>
          <w:b w:val="0"/>
          <w:color w:val="auto"/>
        </w:rPr>
      </w:pPr>
      <w:bookmarkStart w:id="56" w:name="_Toc28060"/>
      <w:bookmarkStart w:id="57" w:name="_Toc15377207"/>
      <w:bookmarkStart w:id="58" w:name="_Toc23203"/>
      <w:bookmarkStart w:id="59" w:name="_Toc15396605"/>
      <w:r>
        <w:rPr>
          <w:rFonts w:hint="eastAsia" w:ascii="黑体" w:hAnsi="黑体" w:eastAsia="黑体"/>
          <w:color w:val="auto"/>
          <w:sz w:val="32"/>
          <w:szCs w:val="32"/>
        </w:rPr>
        <w:t>支</w:t>
      </w:r>
      <w:r>
        <w:rPr>
          <w:rStyle w:val="26"/>
          <w:rFonts w:hint="eastAsia" w:ascii="黑体" w:hAnsi="黑体" w:eastAsia="黑体"/>
          <w:b w:val="0"/>
          <w:color w:val="auto"/>
        </w:rPr>
        <w:t>出决算情况说明</w:t>
      </w:r>
      <w:bookmarkEnd w:id="56"/>
      <w:bookmarkEnd w:id="57"/>
      <w:bookmarkEnd w:id="58"/>
      <w:bookmarkEnd w:id="59"/>
    </w:p>
    <w:p>
      <w:pPr>
        <w:spacing w:line="600" w:lineRule="exact"/>
        <w:ind w:firstLine="640" w:firstLineChars="200"/>
        <w:outlineLvl w:val="1"/>
        <w:rPr>
          <w:rFonts w:ascii="仿宋" w:hAnsi="仿宋" w:eastAsia="仿宋"/>
          <w:color w:val="auto"/>
          <w:sz w:val="32"/>
          <w:szCs w:val="32"/>
        </w:rPr>
      </w:pPr>
      <w:bookmarkStart w:id="60" w:name="_Toc15050"/>
      <w:bookmarkStart w:id="61" w:name="_Toc26958"/>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年本年支出合计</w:t>
      </w:r>
      <w:r>
        <w:rPr>
          <w:rFonts w:hint="eastAsia" w:ascii="仿宋" w:hAnsi="仿宋" w:eastAsia="仿宋"/>
          <w:color w:val="auto"/>
          <w:sz w:val="32"/>
          <w:szCs w:val="32"/>
          <w:lang w:val="en-US" w:eastAsia="zh-CN"/>
        </w:rPr>
        <w:t>11127.11</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6826.00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61.35</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4281.53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38.48</w:t>
      </w:r>
      <w:r>
        <w:rPr>
          <w:rFonts w:ascii="仿宋" w:hAnsi="仿宋" w:eastAsia="仿宋"/>
          <w:color w:val="auto"/>
          <w:sz w:val="32"/>
          <w:szCs w:val="32"/>
        </w:rPr>
        <w:t>%</w:t>
      </w:r>
      <w:r>
        <w:rPr>
          <w:rFonts w:hint="eastAsia" w:ascii="仿宋" w:hAnsi="仿宋" w:eastAsia="仿宋"/>
          <w:color w:val="auto"/>
          <w:sz w:val="32"/>
          <w:szCs w:val="32"/>
        </w:rPr>
        <w:t>；经营支出</w:t>
      </w:r>
      <w:r>
        <w:rPr>
          <w:rFonts w:hint="eastAsia" w:ascii="仿宋" w:hAnsi="仿宋" w:eastAsia="仿宋"/>
          <w:color w:val="auto"/>
          <w:sz w:val="32"/>
          <w:szCs w:val="32"/>
          <w:lang w:val="en-US" w:eastAsia="zh-CN"/>
        </w:rPr>
        <w:t>19.58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0.17</w:t>
      </w:r>
      <w:r>
        <w:rPr>
          <w:rFonts w:ascii="仿宋" w:hAnsi="仿宋" w:eastAsia="仿宋"/>
          <w:color w:val="auto"/>
          <w:sz w:val="32"/>
          <w:szCs w:val="32"/>
        </w:rPr>
        <w:t>%</w:t>
      </w:r>
      <w:r>
        <w:rPr>
          <w:rFonts w:hint="eastAsia" w:ascii="仿宋" w:hAnsi="仿宋" w:eastAsia="仿宋"/>
          <w:color w:val="auto"/>
          <w:sz w:val="32"/>
          <w:szCs w:val="32"/>
        </w:rPr>
        <w:t>。</w:t>
      </w:r>
      <w:bookmarkEnd w:id="60"/>
      <w:bookmarkEnd w:id="61"/>
    </w:p>
    <w:p>
      <w:pPr>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支出决算结构图</w:t>
      </w:r>
      <w:r>
        <w:rPr>
          <w:rFonts w:hint="eastAsia" w:ascii="仿宋" w:hAnsi="仿宋" w:eastAsia="仿宋"/>
          <w:color w:val="auto"/>
          <w:sz w:val="32"/>
          <w:szCs w:val="32"/>
          <w:lang w:eastAsia="zh-CN"/>
        </w:rPr>
        <w:t>如下：</w:t>
      </w:r>
    </w:p>
    <w:p>
      <w:pPr>
        <w:pStyle w:val="2"/>
        <w:rPr>
          <w:rFonts w:hint="eastAsia"/>
          <w:lang w:eastAsia="zh-CN"/>
        </w:rPr>
      </w:pPr>
      <w:r>
        <w:drawing>
          <wp:inline distT="0" distB="0" distL="114300" distR="114300">
            <wp:extent cx="5247640" cy="2952115"/>
            <wp:effectExtent l="4445" t="4445" r="5715" b="1524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hint="eastAsia" w:ascii="仿宋" w:hAnsi="仿宋" w:eastAsia="仿宋"/>
          <w:color w:val="auto"/>
          <w:sz w:val="32"/>
          <w:szCs w:val="32"/>
          <w:lang w:eastAsia="zh-CN"/>
        </w:rPr>
      </w:pPr>
    </w:p>
    <w:p>
      <w:pPr>
        <w:spacing w:line="600" w:lineRule="exact"/>
        <w:ind w:firstLine="640" w:firstLineChars="200"/>
        <w:outlineLvl w:val="1"/>
        <w:rPr>
          <w:rFonts w:hint="eastAsia" w:ascii="黑体" w:hAnsi="黑体" w:eastAsia="黑体"/>
          <w:color w:val="auto"/>
          <w:sz w:val="32"/>
          <w:szCs w:val="32"/>
        </w:rPr>
      </w:pPr>
      <w:bookmarkStart w:id="62" w:name="_Toc15377208"/>
      <w:bookmarkStart w:id="63" w:name="_Toc5559"/>
      <w:bookmarkStart w:id="64" w:name="_Toc14060"/>
      <w:bookmarkStart w:id="65" w:name="_Toc15396606"/>
    </w:p>
    <w:p>
      <w:pPr>
        <w:spacing w:line="600" w:lineRule="exact"/>
        <w:ind w:firstLine="640" w:firstLineChars="200"/>
        <w:outlineLvl w:val="1"/>
        <w:rPr>
          <w:rStyle w:val="26"/>
          <w:rFonts w:ascii="黑体" w:hAnsi="黑体" w:eastAsia="黑体"/>
          <w:b w:val="0"/>
          <w:color w:val="auto"/>
        </w:rPr>
      </w:pPr>
      <w:r>
        <w:rPr>
          <w:rFonts w:hint="eastAsia" w:ascii="黑体" w:hAnsi="黑体" w:eastAsia="黑体"/>
          <w:color w:val="auto"/>
          <w:sz w:val="32"/>
          <w:szCs w:val="32"/>
        </w:rPr>
        <w:t>四、财</w:t>
      </w:r>
      <w:r>
        <w:rPr>
          <w:rStyle w:val="26"/>
          <w:rFonts w:hint="eastAsia" w:ascii="黑体" w:hAnsi="黑体" w:eastAsia="黑体"/>
          <w:b w:val="0"/>
          <w:color w:val="auto"/>
        </w:rPr>
        <w:t>政拨款收入支出决算总体情况说明</w:t>
      </w:r>
      <w:bookmarkEnd w:id="62"/>
      <w:bookmarkEnd w:id="63"/>
      <w:bookmarkEnd w:id="64"/>
      <w:bookmarkEnd w:id="65"/>
    </w:p>
    <w:p>
      <w:pPr>
        <w:spacing w:line="600" w:lineRule="exact"/>
        <w:ind w:firstLine="640"/>
        <w:rPr>
          <w:rFonts w:hint="eastAsia"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年财政拨款收、支总计</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年相比，财政拨款收、支总计各增加</w:t>
      </w:r>
      <w:r>
        <w:rPr>
          <w:rFonts w:hint="eastAsia" w:ascii="仿宋" w:hAnsi="仿宋" w:eastAsia="仿宋"/>
          <w:color w:val="auto"/>
          <w:sz w:val="32"/>
          <w:szCs w:val="32"/>
          <w:lang w:val="en-US" w:eastAsia="zh-CN"/>
        </w:rPr>
        <w:t>3745.33</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58.99</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2020年增加了</w:t>
      </w:r>
      <w:r>
        <w:rPr>
          <w:rFonts w:hint="eastAsia" w:ascii="仿宋" w:hAnsi="仿宋" w:eastAsia="仿宋"/>
          <w:color w:val="auto"/>
          <w:sz w:val="32"/>
          <w:szCs w:val="32"/>
        </w:rPr>
        <w:t>四川省重点行业企业用地调查采样</w:t>
      </w:r>
      <w:r>
        <w:rPr>
          <w:rFonts w:hint="eastAsia" w:ascii="仿宋" w:hAnsi="仿宋" w:eastAsia="仿宋"/>
          <w:color w:val="auto"/>
          <w:sz w:val="32"/>
          <w:szCs w:val="32"/>
          <w:lang w:eastAsia="zh-CN"/>
        </w:rPr>
        <w:t>项目的</w:t>
      </w:r>
      <w:r>
        <w:rPr>
          <w:rFonts w:hint="eastAsia" w:ascii="仿宋" w:hAnsi="仿宋" w:eastAsia="仿宋"/>
          <w:color w:val="auto"/>
          <w:sz w:val="32"/>
          <w:szCs w:val="32"/>
          <w:lang w:val="en-US" w:eastAsia="zh-CN"/>
        </w:rPr>
        <w:t>2445.00万元和第四批生态环境保护资金1699.72万元。</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财政拨款收、支决算总计变动情况</w:t>
      </w:r>
      <w:r>
        <w:rPr>
          <w:rFonts w:hint="eastAsia" w:ascii="仿宋" w:hAnsi="仿宋" w:eastAsia="仿宋"/>
          <w:color w:val="auto"/>
          <w:sz w:val="32"/>
          <w:szCs w:val="32"/>
          <w:lang w:eastAsia="zh-CN"/>
        </w:rPr>
        <w:t>如下图：</w:t>
      </w:r>
    </w:p>
    <w:p>
      <w:pPr>
        <w:spacing w:line="600" w:lineRule="exact"/>
        <w:ind w:firstLine="630" w:firstLineChars="300"/>
        <w:outlineLvl w:val="1"/>
        <w:rPr>
          <w:rStyle w:val="26"/>
          <w:rFonts w:ascii="黑体" w:hAnsi="黑体" w:eastAsia="黑体"/>
          <w:b w:val="0"/>
          <w:color w:val="auto"/>
        </w:rPr>
      </w:pPr>
      <w:bookmarkStart w:id="66" w:name="_Toc15396607"/>
      <w:bookmarkStart w:id="67" w:name="_Toc15377209"/>
      <w:bookmarkStart w:id="68" w:name="_Toc30828"/>
      <w:bookmarkStart w:id="69" w:name="_Toc13618"/>
      <w:r>
        <w:rPr>
          <w:sz w:val="21"/>
        </w:rPr>
        <mc:AlternateContent>
          <mc:Choice Requires="wps">
            <w:drawing>
              <wp:anchor distT="0" distB="0" distL="114300" distR="114300" simplePos="0" relativeHeight="251662336" behindDoc="0" locked="0" layoutInCell="1" allowOverlap="1">
                <wp:simplePos x="0" y="0"/>
                <wp:positionH relativeFrom="column">
                  <wp:posOffset>4271010</wp:posOffset>
                </wp:positionH>
                <wp:positionV relativeFrom="paragraph">
                  <wp:posOffset>-2511425</wp:posOffset>
                </wp:positionV>
                <wp:extent cx="847725" cy="314325"/>
                <wp:effectExtent l="0" t="0" r="9525" b="9525"/>
                <wp:wrapNone/>
                <wp:docPr id="9" name="文本框 9"/>
                <wp:cNvGraphicFramePr/>
                <a:graphic xmlns:a="http://schemas.openxmlformats.org/drawingml/2006/main">
                  <a:graphicData uri="http://schemas.microsoft.com/office/word/2010/wordprocessingShape">
                    <wps:wsp>
                      <wps:cNvSpPr txBox="1"/>
                      <wps:spPr>
                        <a:xfrm>
                          <a:off x="5414010" y="4740275"/>
                          <a:ext cx="847725" cy="314325"/>
                        </a:xfrm>
                        <a:prstGeom prst="rect">
                          <a:avLst/>
                        </a:prstGeom>
                        <a:solidFill>
                          <a:schemeClr val="bg1">
                            <a:lumMod val="9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18"/>
                                <w:szCs w:val="18"/>
                                <w:lang w:eastAsia="zh-CN"/>
                              </w:rPr>
                            </w:pPr>
                            <w:r>
                              <w:rPr>
                                <w:rFonts w:hint="eastAsia"/>
                                <w:sz w:val="18"/>
                                <w:szCs w:val="18"/>
                                <w:lang w:eastAsia="zh-CN"/>
                              </w:rPr>
                              <w:t>单位：元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3pt;margin-top:-197.75pt;height:24.75pt;width:66.75pt;z-index:251662336;mso-width-relative:page;mso-height-relative:page;" fillcolor="#F2F2F2 [3052]" filled="t" stroked="f" coordsize="21600,21600" o:gfxdata="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t1tDTYAAAADQEAAA8AAAAAAAAAAQAgAAAAIgAAAGRycy9kb3ducmV2&#10;LnhtbFBLAQIUABQAAAAIAIdO4kDOvKBlbgIAALwEAAAOAAAAAAAAAAEAIAAAACcBAABkcnMvZTJv&#10;RG9jLnhtbFBLBQYAAAAABgAGAFkBAAAHBgAAAAA=&#10;">
                <v:fill on="t" focussize="0,0"/>
                <v:stroke on="f" weight="0.5pt"/>
                <v:imagedata o:title=""/>
                <o:lock v:ext="edit" aspectratio="f"/>
                <v:textbox>
                  <w:txbxContent>
                    <w:p>
                      <w:pPr>
                        <w:rPr>
                          <w:rFonts w:hint="eastAsia" w:eastAsia="宋体"/>
                          <w:sz w:val="18"/>
                          <w:szCs w:val="18"/>
                          <w:lang w:eastAsia="zh-CN"/>
                        </w:rPr>
                      </w:pPr>
                      <w:r>
                        <w:rPr>
                          <w:rFonts w:hint="eastAsia"/>
                          <w:sz w:val="18"/>
                          <w:szCs w:val="18"/>
                          <w:lang w:eastAsia="zh-CN"/>
                        </w:rPr>
                        <w:t>单位：元</w:t>
                      </w:r>
                    </w:p>
                  </w:txbxContent>
                </v:textbox>
              </v:shape>
            </w:pict>
          </mc:Fallback>
        </mc:AlternateContent>
      </w:r>
      <w:r>
        <w:drawing>
          <wp:anchor distT="0" distB="0" distL="114300" distR="114300" simplePos="0" relativeHeight="251659264" behindDoc="1" locked="0" layoutInCell="1" allowOverlap="1">
            <wp:simplePos x="0" y="0"/>
            <wp:positionH relativeFrom="column">
              <wp:posOffset>61595</wp:posOffset>
            </wp:positionH>
            <wp:positionV relativeFrom="paragraph">
              <wp:posOffset>90170</wp:posOffset>
            </wp:positionV>
            <wp:extent cx="5219065" cy="2743200"/>
            <wp:effectExtent l="4445" t="4445" r="15240" b="14605"/>
            <wp:wrapTight wrapText="bothSides">
              <wp:wrapPolygon>
                <wp:start x="-18" y="-35"/>
                <wp:lineTo x="-18" y="21565"/>
                <wp:lineTo x="21505" y="21565"/>
                <wp:lineTo x="21505" y="-35"/>
                <wp:lineTo x="-18" y="-35"/>
              </wp:wrapPolygon>
            </wp:wrapTight>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般公共预算财政拨款支出决算情况说明</w:t>
      </w:r>
      <w:bookmarkEnd w:id="66"/>
      <w:bookmarkEnd w:id="67"/>
      <w:bookmarkEnd w:id="68"/>
      <w:bookmarkEnd w:id="69"/>
    </w:p>
    <w:p>
      <w:pPr>
        <w:spacing w:line="600" w:lineRule="exact"/>
        <w:ind w:firstLine="643" w:firstLineChars="200"/>
        <w:outlineLvl w:val="2"/>
        <w:rPr>
          <w:rFonts w:ascii="仿宋" w:hAnsi="仿宋" w:eastAsia="仿宋"/>
          <w:b/>
          <w:color w:val="auto"/>
          <w:sz w:val="32"/>
          <w:szCs w:val="32"/>
        </w:rPr>
      </w:pPr>
      <w:bookmarkStart w:id="70" w:name="_Toc15377210"/>
      <w:r>
        <w:rPr>
          <w:rFonts w:hint="eastAsia" w:ascii="仿宋" w:hAnsi="仿宋" w:eastAsia="仿宋"/>
          <w:b/>
          <w:color w:val="auto"/>
          <w:sz w:val="32"/>
          <w:szCs w:val="32"/>
        </w:rPr>
        <w:t>（一）一般公共预算财政拨款支出决算总体情况</w:t>
      </w:r>
      <w:bookmarkEnd w:id="70"/>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90.72</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w:t>
      </w:r>
      <w:r>
        <w:rPr>
          <w:rFonts w:hint="eastAsia" w:ascii="仿宋" w:hAnsi="仿宋" w:eastAsia="仿宋"/>
          <w:color w:val="auto"/>
          <w:sz w:val="32"/>
          <w:szCs w:val="32"/>
          <w:lang w:eastAsia="zh-CN"/>
        </w:rPr>
        <w:t>的</w:t>
      </w:r>
      <w:r>
        <w:rPr>
          <w:rFonts w:hint="eastAsia" w:ascii="仿宋" w:hAnsi="仿宋" w:eastAsia="仿宋"/>
          <w:color w:val="auto"/>
          <w:sz w:val="32"/>
          <w:szCs w:val="32"/>
          <w:lang w:val="en-US" w:eastAsia="zh-CN"/>
        </w:rPr>
        <w:t>6349.63万元</w:t>
      </w:r>
      <w:r>
        <w:rPr>
          <w:rFonts w:hint="eastAsia" w:ascii="仿宋" w:hAnsi="仿宋" w:eastAsia="仿宋"/>
          <w:color w:val="auto"/>
          <w:sz w:val="32"/>
          <w:szCs w:val="32"/>
        </w:rPr>
        <w:t>相比，一般公共预算财政拨款增加</w:t>
      </w:r>
      <w:r>
        <w:rPr>
          <w:rFonts w:hint="eastAsia" w:ascii="仿宋" w:hAnsi="仿宋" w:eastAsia="仿宋"/>
          <w:color w:val="auto"/>
          <w:sz w:val="32"/>
          <w:szCs w:val="32"/>
          <w:lang w:val="en-US" w:eastAsia="zh-CN"/>
        </w:rPr>
        <w:t>3745.33</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58.99</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_GB2312" w:hAnsi="仿宋_GB2312" w:eastAsia="仿宋_GB2312" w:cs="仿宋_GB2312"/>
          <w:sz w:val="32"/>
          <w:szCs w:val="32"/>
        </w:rPr>
        <w:t>节能环保支出增加4144.72万元，住房保障支出减少了85.00万元</w:t>
      </w:r>
      <w:r>
        <w:rPr>
          <w:rFonts w:hint="eastAsia" w:ascii="仿宋_GB2312" w:hAnsi="仿宋_GB2312" w:eastAsia="仿宋_GB2312" w:cs="仿宋_GB2312"/>
          <w:color w:val="000000"/>
          <w:sz w:val="32"/>
          <w:szCs w:val="32"/>
        </w:rPr>
        <w:t>。</w:t>
      </w:r>
    </w:p>
    <w:p>
      <w:pPr>
        <w:spacing w:line="600" w:lineRule="exact"/>
        <w:ind w:firstLine="640" w:firstLineChars="200"/>
        <w:outlineLvl w:val="2"/>
        <w:rPr>
          <w:rFonts w:hint="eastAsia" w:ascii="仿宋" w:hAnsi="仿宋" w:eastAsia="仿宋"/>
          <w:color w:val="auto"/>
          <w:sz w:val="32"/>
          <w:szCs w:val="32"/>
          <w:lang w:eastAsia="zh-CN"/>
        </w:rPr>
      </w:pPr>
      <w:r>
        <w:rPr>
          <w:rFonts w:hint="eastAsia" w:ascii="仿宋" w:hAnsi="仿宋" w:eastAsia="仿宋"/>
          <w:color w:val="auto"/>
          <w:sz w:val="32"/>
          <w:szCs w:val="32"/>
        </w:rPr>
        <w:t>一般公共预算财政拨款支出决算变动情况</w:t>
      </w:r>
      <w:bookmarkStart w:id="71" w:name="_Toc15377211"/>
      <w:r>
        <w:rPr>
          <w:rFonts w:hint="eastAsia" w:ascii="仿宋" w:hAnsi="仿宋" w:eastAsia="仿宋"/>
          <w:color w:val="auto"/>
          <w:sz w:val="32"/>
          <w:szCs w:val="32"/>
          <w:lang w:eastAsia="zh-CN"/>
        </w:rPr>
        <w:t>如下图：</w:t>
      </w:r>
    </w:p>
    <w:p>
      <w:pPr>
        <w:pStyle w:val="2"/>
        <w:rPr>
          <w:rFonts w:hint="eastAsia" w:ascii="仿宋" w:hAnsi="仿宋" w:eastAsia="仿宋"/>
          <w:color w:val="auto"/>
          <w:sz w:val="32"/>
          <w:szCs w:val="32"/>
          <w:lang w:eastAsia="zh-CN"/>
        </w:rPr>
      </w:pPr>
      <w:r>
        <w:rPr>
          <w:sz w:val="30"/>
        </w:rPr>
        <mc:AlternateContent>
          <mc:Choice Requires="wps">
            <w:drawing>
              <wp:anchor distT="0" distB="0" distL="114300" distR="114300" simplePos="0" relativeHeight="251660288" behindDoc="0" locked="0" layoutInCell="1" allowOverlap="1">
                <wp:simplePos x="0" y="0"/>
                <wp:positionH relativeFrom="column">
                  <wp:posOffset>4394835</wp:posOffset>
                </wp:positionH>
                <wp:positionV relativeFrom="paragraph">
                  <wp:posOffset>497205</wp:posOffset>
                </wp:positionV>
                <wp:extent cx="647700" cy="295275"/>
                <wp:effectExtent l="0" t="0" r="0" b="9525"/>
                <wp:wrapNone/>
                <wp:docPr id="7" name="文本框 7"/>
                <wp:cNvGraphicFramePr/>
                <a:graphic xmlns:a="http://schemas.openxmlformats.org/drawingml/2006/main">
                  <a:graphicData uri="http://schemas.microsoft.com/office/word/2010/wordprocessingShape">
                    <wps:wsp>
                      <wps:cNvSpPr txBox="1"/>
                      <wps:spPr>
                        <a:xfrm>
                          <a:off x="5537835" y="2935605"/>
                          <a:ext cx="647700" cy="295275"/>
                        </a:xfrm>
                        <a:prstGeom prst="rect">
                          <a:avLst/>
                        </a:prstGeom>
                        <a:solidFill>
                          <a:schemeClr val="bg1">
                            <a:lumMod val="9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sz w:val="18"/>
                                <w:szCs w:val="18"/>
                                <w:lang w:eastAsia="zh-CN"/>
                              </w:rPr>
                              <w:t>单位：元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05pt;margin-top:39.15pt;height:23.25pt;width:51pt;z-index:251660288;mso-width-relative:page;mso-height-relative:page;" fillcolor="#F2F2F2 [3052]" filled="t" stroked="f" coordsize="21600,21600" o:gfxdata="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dQQPdYAAAAKAQAADwAAAAAAAAABACAAAAAiAAAAZHJzL2Rvd25yZXYueG1s&#10;UEsBAhQAFAAAAAgAh07iQNrKUxpsAgAAvAQAAA4AAAAAAAAAAQAgAAAAJQEAAGRycy9lMm9Eb2Mu&#10;eG1sUEsFBgAAAAAGAAYAWQEAAAMGAAAAAA==&#10;">
                <v:fill on="t" focussize="0,0"/>
                <v:stroke on="f" weight="0.5pt"/>
                <v:imagedata o:title=""/>
                <o:lock v:ext="edit" aspectratio="f"/>
                <v:textbox>
                  <w:txbxContent>
                    <w:p>
                      <w:pPr>
                        <w:rPr>
                          <w:rFonts w:hint="eastAsia" w:eastAsia="宋体"/>
                          <w:lang w:eastAsia="zh-CN"/>
                        </w:rPr>
                      </w:pPr>
                      <w:r>
                        <w:rPr>
                          <w:rFonts w:hint="eastAsia"/>
                          <w:sz w:val="18"/>
                          <w:szCs w:val="18"/>
                          <w:lang w:eastAsia="zh-CN"/>
                        </w:rPr>
                        <w:t>单位：元</w:t>
                      </w:r>
                    </w:p>
                  </w:txbxContent>
                </v:textbox>
              </v:shape>
            </w:pict>
          </mc:Fallback>
        </mc:AlternateContent>
      </w:r>
      <w:r>
        <w:drawing>
          <wp:inline distT="0" distB="0" distL="114300" distR="114300">
            <wp:extent cx="5285105" cy="2715260"/>
            <wp:effectExtent l="4445" t="4445" r="6350" b="23495"/>
            <wp:docPr id="6"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ascii="仿宋" w:hAnsi="仿宋" w:eastAsia="仿宋"/>
          <w:b/>
          <w:color w:val="auto"/>
          <w:sz w:val="32"/>
          <w:szCs w:val="32"/>
        </w:rPr>
      </w:pPr>
      <w:r>
        <w:rPr>
          <w:rFonts w:hint="eastAsia" w:ascii="仿宋" w:hAnsi="仿宋" w:eastAsia="仿宋"/>
          <w:b/>
          <w:color w:val="auto"/>
          <w:sz w:val="32"/>
          <w:szCs w:val="32"/>
        </w:rPr>
        <w:t>（二）一般公共预算财政拨款支出决算结构情况</w:t>
      </w:r>
      <w:bookmarkEnd w:id="71"/>
    </w:p>
    <w:p>
      <w:pPr>
        <w:spacing w:line="600" w:lineRule="exact"/>
        <w:ind w:firstLine="640"/>
        <w:rPr>
          <w:rFonts w:hint="eastAsia"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万元，主要用于以下方面</w:t>
      </w:r>
      <w:r>
        <w:rPr>
          <w:rFonts w:ascii="仿宋" w:hAnsi="仿宋" w:eastAsia="仿宋"/>
          <w:color w:val="auto"/>
          <w:sz w:val="32"/>
          <w:szCs w:val="32"/>
        </w:rPr>
        <w:t>:</w:t>
      </w:r>
      <w:r>
        <w:rPr>
          <w:rFonts w:hint="eastAsia" w:ascii="仿宋" w:hAnsi="仿宋" w:eastAsia="仿宋"/>
          <w:b/>
          <w:color w:val="auto"/>
          <w:sz w:val="32"/>
          <w:szCs w:val="32"/>
        </w:rPr>
        <w:t>科学技术（类）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19</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0.19</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1398.66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13.86</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414.47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4.11</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lang w:eastAsia="zh-CN"/>
        </w:rPr>
        <w:t>节能环保支出</w:t>
      </w:r>
      <w:r>
        <w:rPr>
          <w:rFonts w:hint="eastAsia" w:ascii="仿宋" w:hAnsi="仿宋" w:eastAsia="仿宋"/>
          <w:color w:val="auto"/>
          <w:sz w:val="32"/>
          <w:szCs w:val="32"/>
          <w:lang w:val="en-US" w:eastAsia="zh-CN"/>
        </w:rPr>
        <w:t>4144.72万元，</w:t>
      </w:r>
      <w:r>
        <w:rPr>
          <w:rFonts w:hint="eastAsia" w:ascii="仿宋" w:hAnsi="仿宋" w:eastAsia="仿宋"/>
          <w:color w:val="auto"/>
          <w:sz w:val="32"/>
          <w:szCs w:val="32"/>
        </w:rPr>
        <w:t>占</w:t>
      </w:r>
      <w:r>
        <w:rPr>
          <w:rFonts w:hint="eastAsia" w:ascii="仿宋" w:hAnsi="仿宋" w:eastAsia="仿宋"/>
          <w:color w:val="auto"/>
          <w:sz w:val="32"/>
          <w:szCs w:val="32"/>
          <w:lang w:val="en-US" w:eastAsia="zh-CN"/>
        </w:rPr>
        <w:t>41.06</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b/>
          <w:bCs/>
          <w:color w:val="auto"/>
          <w:sz w:val="32"/>
          <w:szCs w:val="32"/>
          <w:lang w:eastAsia="zh-CN"/>
        </w:rPr>
        <w:t>资源勘探工业信息等支出</w:t>
      </w:r>
      <w:r>
        <w:rPr>
          <w:rFonts w:hint="eastAsia" w:ascii="仿宋" w:hAnsi="仿宋" w:eastAsia="仿宋"/>
          <w:color w:val="auto"/>
          <w:sz w:val="32"/>
          <w:szCs w:val="32"/>
          <w:lang w:val="en-US" w:eastAsia="zh-CN"/>
        </w:rPr>
        <w:t>3097.41万元，</w:t>
      </w:r>
      <w:r>
        <w:rPr>
          <w:rFonts w:hint="eastAsia" w:ascii="仿宋" w:hAnsi="仿宋" w:eastAsia="仿宋"/>
          <w:color w:val="auto"/>
          <w:sz w:val="32"/>
          <w:szCs w:val="32"/>
        </w:rPr>
        <w:t>占</w:t>
      </w:r>
      <w:r>
        <w:rPr>
          <w:rFonts w:hint="eastAsia" w:ascii="仿宋" w:hAnsi="仿宋" w:eastAsia="仿宋"/>
          <w:color w:val="auto"/>
          <w:sz w:val="32"/>
          <w:szCs w:val="32"/>
          <w:lang w:val="en-US" w:eastAsia="zh-CN"/>
        </w:rPr>
        <w:t>30.68</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b/>
          <w:bCs/>
          <w:color w:val="auto"/>
          <w:sz w:val="32"/>
          <w:szCs w:val="32"/>
        </w:rPr>
        <w:t>住房保障支出</w:t>
      </w:r>
      <w:r>
        <w:rPr>
          <w:rFonts w:hint="eastAsia" w:ascii="仿宋" w:hAnsi="仿宋" w:eastAsia="仿宋"/>
          <w:color w:val="auto"/>
          <w:sz w:val="32"/>
          <w:szCs w:val="32"/>
          <w:lang w:val="en-US" w:eastAsia="zh-CN"/>
        </w:rPr>
        <w:t>1020.70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10.10</w:t>
      </w:r>
      <w:r>
        <w:rPr>
          <w:rFonts w:ascii="仿宋" w:hAnsi="仿宋" w:eastAsia="仿宋"/>
          <w:color w:val="auto"/>
          <w:sz w:val="32"/>
          <w:szCs w:val="32"/>
        </w:rPr>
        <w:t>%</w:t>
      </w:r>
      <w:r>
        <w:rPr>
          <w:rFonts w:hint="eastAsia" w:ascii="仿宋" w:hAnsi="仿宋" w:eastAsia="仿宋"/>
          <w:color w:val="auto"/>
          <w:sz w:val="32"/>
          <w:szCs w:val="32"/>
        </w:rPr>
        <w:t>。</w:t>
      </w:r>
      <w:bookmarkStart w:id="72" w:name="_Toc15377212"/>
    </w:p>
    <w:p>
      <w:pPr>
        <w:pStyle w:val="2"/>
        <w:ind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一般公共预算财政拨款支出决算结构情况如下图：</w:t>
      </w:r>
    </w:p>
    <w:p>
      <w:pPr>
        <w:pStyle w:val="2"/>
        <w:rPr>
          <w:rFonts w:hint="eastAsia" w:ascii="仿宋" w:hAnsi="仿宋" w:eastAsia="仿宋"/>
          <w:color w:val="auto"/>
          <w:sz w:val="32"/>
          <w:szCs w:val="32"/>
        </w:rPr>
      </w:pPr>
      <w:r>
        <w:drawing>
          <wp:inline distT="0" distB="0" distL="114300" distR="114300">
            <wp:extent cx="5237480" cy="2799715"/>
            <wp:effectExtent l="4445" t="4445" r="15875" b="15240"/>
            <wp:docPr id="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rPr>
          <w:rFonts w:hint="eastAsia" w:ascii="仿宋" w:hAnsi="仿宋" w:eastAsia="仿宋"/>
          <w:color w:val="auto"/>
          <w:sz w:val="32"/>
          <w:szCs w:val="32"/>
        </w:rPr>
      </w:pPr>
    </w:p>
    <w:p>
      <w:pPr>
        <w:rPr>
          <w:rFonts w:hint="eastAsia"/>
        </w:rPr>
      </w:pPr>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（三）一般公共预算财政拨款支出决算具体情况</w:t>
      </w:r>
      <w:bookmarkEnd w:id="72"/>
    </w:p>
    <w:p>
      <w:pPr>
        <w:spacing w:line="600" w:lineRule="exact"/>
        <w:ind w:firstLine="643" w:firstLineChars="200"/>
        <w:outlineLvl w:val="2"/>
        <w:rPr>
          <w:rFonts w:ascii="仿宋" w:hAnsi="仿宋" w:eastAsia="仿宋"/>
          <w:color w:val="auto"/>
          <w:sz w:val="32"/>
          <w:szCs w:val="32"/>
        </w:rPr>
      </w:pPr>
      <w:bookmarkStart w:id="73" w:name="_Toc15378460"/>
      <w:bookmarkStart w:id="74" w:name="_Toc15377213"/>
      <w:bookmarkStart w:id="75" w:name="_Toc15377444"/>
      <w:r>
        <w:rPr>
          <w:rFonts w:hint="eastAsia" w:ascii="仿宋" w:hAnsi="仿宋" w:eastAsia="仿宋"/>
          <w:b/>
          <w:color w:val="auto"/>
          <w:sz w:val="32"/>
          <w:szCs w:val="32"/>
        </w:rPr>
        <w:t>20</w:t>
      </w:r>
      <w:r>
        <w:rPr>
          <w:rFonts w:hint="eastAsia" w:ascii="仿宋" w:hAnsi="仿宋" w:eastAsia="仿宋"/>
          <w:b/>
          <w:color w:val="auto"/>
          <w:sz w:val="32"/>
          <w:szCs w:val="32"/>
          <w:lang w:val="en-US" w:eastAsia="zh-CN"/>
        </w:rPr>
        <w:t>20</w:t>
      </w:r>
      <w:r>
        <w:rPr>
          <w:rFonts w:hint="eastAsia" w:ascii="仿宋" w:hAnsi="仿宋" w:eastAsia="仿宋"/>
          <w:b/>
          <w:color w:val="auto"/>
          <w:sz w:val="32"/>
          <w:szCs w:val="32"/>
        </w:rPr>
        <w:t>年</w:t>
      </w:r>
      <w:r>
        <w:rPr>
          <w:rFonts w:hint="eastAsia" w:ascii="仿宋" w:hAnsi="仿宋" w:eastAsia="仿宋"/>
          <w:b/>
          <w:color w:val="auto"/>
          <w:sz w:val="32"/>
          <w:szCs w:val="32"/>
          <w:lang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10094.96万元</w:t>
      </w:r>
      <w:r>
        <w:rPr>
          <w:rFonts w:hint="eastAsia" w:ascii="仿宋" w:hAnsi="仿宋" w:eastAsia="仿宋"/>
          <w:color w:val="auto"/>
          <w:sz w:val="32"/>
          <w:szCs w:val="32"/>
        </w:rPr>
        <w:t>，</w:t>
      </w:r>
      <w:r>
        <w:rPr>
          <w:rStyle w:val="15"/>
          <w:rFonts w:hint="eastAsia" w:ascii="仿宋" w:hAnsi="仿宋" w:eastAsia="仿宋"/>
          <w:bCs/>
          <w:color w:val="auto"/>
          <w:sz w:val="32"/>
          <w:szCs w:val="32"/>
        </w:rPr>
        <w:t>完成预算</w:t>
      </w:r>
      <w:r>
        <w:rPr>
          <w:rStyle w:val="15"/>
          <w:rFonts w:hint="eastAsia" w:ascii="仿宋" w:hAnsi="仿宋" w:eastAsia="仿宋"/>
          <w:bCs/>
          <w:color w:val="auto"/>
          <w:sz w:val="32"/>
          <w:szCs w:val="32"/>
          <w:lang w:val="en-US" w:eastAsia="zh-CN"/>
        </w:rPr>
        <w:t>100</w:t>
      </w:r>
      <w:r>
        <w:rPr>
          <w:rStyle w:val="15"/>
          <w:rFonts w:ascii="仿宋" w:hAnsi="仿宋" w:eastAsia="仿宋"/>
          <w:bCs/>
          <w:color w:val="auto"/>
          <w:sz w:val="32"/>
          <w:szCs w:val="32"/>
        </w:rPr>
        <w:t>%</w:t>
      </w:r>
      <w:r>
        <w:rPr>
          <w:rStyle w:val="15"/>
          <w:rFonts w:hint="eastAsia" w:ascii="仿宋" w:hAnsi="仿宋" w:eastAsia="仿宋"/>
          <w:bCs/>
          <w:color w:val="auto"/>
          <w:sz w:val="32"/>
          <w:szCs w:val="32"/>
        </w:rPr>
        <w:t>。其中：</w:t>
      </w:r>
      <w:bookmarkEnd w:id="73"/>
      <w:bookmarkEnd w:id="74"/>
      <w:bookmarkEnd w:id="75"/>
    </w:p>
    <w:p>
      <w:pPr>
        <w:spacing w:line="600" w:lineRule="exact"/>
        <w:ind w:firstLine="643" w:firstLineChars="200"/>
        <w:rPr>
          <w:rFonts w:ascii="仿宋" w:hAnsi="仿宋" w:eastAsia="仿宋"/>
          <w:b/>
          <w:color w:val="auto"/>
          <w:sz w:val="32"/>
          <w:szCs w:val="32"/>
        </w:rPr>
      </w:pPr>
      <w:r>
        <w:rPr>
          <w:rStyle w:val="15"/>
          <w:rFonts w:hint="eastAsia" w:ascii="仿宋" w:hAnsi="仿宋" w:eastAsia="仿宋"/>
          <w:bCs/>
          <w:color w:val="auto"/>
          <w:sz w:val="32"/>
          <w:szCs w:val="32"/>
          <w:lang w:val="en-US" w:eastAsia="zh-CN"/>
        </w:rPr>
        <w:t>1</w:t>
      </w:r>
      <w:r>
        <w:rPr>
          <w:rStyle w:val="15"/>
          <w:rFonts w:ascii="仿宋" w:hAnsi="仿宋" w:eastAsia="仿宋"/>
          <w:bCs/>
          <w:color w:val="auto"/>
          <w:sz w:val="32"/>
          <w:szCs w:val="32"/>
        </w:rPr>
        <w:t>.</w:t>
      </w:r>
      <w:r>
        <w:rPr>
          <w:rStyle w:val="15"/>
          <w:rFonts w:hint="eastAsia" w:ascii="仿宋" w:hAnsi="仿宋" w:eastAsia="仿宋"/>
          <w:bCs/>
          <w:color w:val="auto"/>
          <w:sz w:val="32"/>
          <w:szCs w:val="32"/>
        </w:rPr>
        <w:t>科学技术</w:t>
      </w:r>
      <w:r>
        <w:rPr>
          <w:rStyle w:val="15"/>
          <w:rFonts w:hint="eastAsia" w:ascii="仿宋" w:hAnsi="仿宋" w:eastAsia="仿宋"/>
          <w:bCs/>
          <w:color w:val="auto"/>
          <w:sz w:val="32"/>
          <w:szCs w:val="32"/>
          <w:lang w:eastAsia="zh-CN"/>
        </w:rPr>
        <w:t>（类）科技重大项目</w:t>
      </w:r>
      <w:r>
        <w:rPr>
          <w:rStyle w:val="15"/>
          <w:rFonts w:hint="eastAsia" w:ascii="仿宋" w:hAnsi="仿宋" w:eastAsia="仿宋"/>
          <w:b/>
          <w:bCs/>
          <w:color w:val="auto"/>
          <w:sz w:val="32"/>
          <w:szCs w:val="32"/>
          <w:lang w:val="en-US" w:eastAsia="zh-CN"/>
        </w:rPr>
        <w:t>（款）重点研发计划（项）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19</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3" w:firstLineChars="200"/>
        <w:rPr>
          <w:rStyle w:val="15"/>
          <w:rFonts w:hint="eastAsia" w:ascii="仿宋" w:hAnsi="仿宋" w:eastAsia="仿宋"/>
          <w:b w:val="0"/>
          <w:bCs w:val="0"/>
          <w:color w:val="auto"/>
          <w:sz w:val="32"/>
          <w:szCs w:val="32"/>
          <w:lang w:val="en-US" w:eastAsia="zh-CN"/>
        </w:rPr>
      </w:pPr>
      <w:r>
        <w:rPr>
          <w:rStyle w:val="15"/>
          <w:rFonts w:hint="eastAsia" w:ascii="仿宋" w:hAnsi="仿宋" w:eastAsia="仿宋"/>
          <w:bCs/>
          <w:color w:val="auto"/>
          <w:sz w:val="32"/>
          <w:szCs w:val="32"/>
          <w:lang w:val="en-US" w:eastAsia="zh-CN"/>
        </w:rPr>
        <w:t>2</w:t>
      </w:r>
      <w:r>
        <w:rPr>
          <w:rStyle w:val="15"/>
          <w:rFonts w:ascii="仿宋" w:hAnsi="仿宋" w:eastAsia="仿宋"/>
          <w:bCs/>
          <w:color w:val="auto"/>
          <w:sz w:val="32"/>
          <w:szCs w:val="32"/>
        </w:rPr>
        <w:t>.</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lang w:val="en-US" w:eastAsia="zh-CN"/>
        </w:rPr>
        <w:t>（款）</w:t>
      </w:r>
      <w:r>
        <w:rPr>
          <w:rStyle w:val="15"/>
          <w:rFonts w:hint="eastAsia" w:ascii="仿宋" w:hAnsi="仿宋" w:eastAsia="仿宋"/>
          <w:b/>
          <w:bCs/>
          <w:color w:val="auto"/>
          <w:sz w:val="30"/>
          <w:szCs w:val="30"/>
          <w:lang w:val="en-US" w:eastAsia="zh-CN"/>
        </w:rPr>
        <w:t>事业单位离退休（项）：</w:t>
      </w:r>
      <w:r>
        <w:rPr>
          <w:rStyle w:val="15"/>
          <w:rFonts w:hint="eastAsia" w:ascii="仿宋" w:hAnsi="仿宋" w:eastAsia="仿宋"/>
          <w:b w:val="0"/>
          <w:bCs w:val="0"/>
          <w:color w:val="auto"/>
          <w:sz w:val="32"/>
          <w:szCs w:val="32"/>
          <w:lang w:val="en-US" w:eastAsia="zh-CN"/>
        </w:rPr>
        <w:t>支出决算为307.24万元</w:t>
      </w:r>
      <w:r>
        <w:rPr>
          <w:rStyle w:val="15"/>
          <w:rFonts w:hint="eastAsia" w:ascii="仿宋" w:hAnsi="仿宋" w:eastAsia="仿宋"/>
          <w:b w:val="0"/>
          <w:bCs/>
          <w:color w:val="auto"/>
          <w:sz w:val="32"/>
          <w:szCs w:val="32"/>
          <w:lang w:val="en-US" w:eastAsia="zh-CN"/>
        </w:rPr>
        <w:t>，</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Style w:val="15"/>
          <w:rFonts w:hint="eastAsia" w:ascii="仿宋" w:hAnsi="仿宋" w:eastAsia="仿宋"/>
          <w:b w:val="0"/>
          <w:bCs/>
          <w:color w:val="auto"/>
          <w:sz w:val="32"/>
          <w:szCs w:val="32"/>
          <w:lang w:eastAsia="zh-CN"/>
        </w:rPr>
      </w:pPr>
      <w:r>
        <w:rPr>
          <w:rStyle w:val="15"/>
          <w:rFonts w:hint="eastAsia" w:ascii="仿宋" w:hAnsi="仿宋" w:eastAsia="仿宋"/>
          <w:bCs/>
          <w:color w:val="auto"/>
          <w:sz w:val="32"/>
          <w:szCs w:val="32"/>
          <w:lang w:val="en-US" w:eastAsia="zh-CN"/>
        </w:rPr>
        <w:t>3.</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lang w:val="en-US" w:eastAsia="zh-CN"/>
        </w:rPr>
        <w:t>（款）</w:t>
      </w:r>
      <w:r>
        <w:rPr>
          <w:rStyle w:val="15"/>
          <w:rFonts w:hint="eastAsia" w:ascii="仿宋" w:hAnsi="仿宋" w:eastAsia="仿宋"/>
          <w:b/>
          <w:bCs/>
          <w:color w:val="auto"/>
          <w:sz w:val="32"/>
          <w:szCs w:val="32"/>
          <w:lang w:val="en-US" w:eastAsia="zh-CN"/>
        </w:rPr>
        <w:t>机关</w:t>
      </w:r>
      <w:r>
        <w:rPr>
          <w:rStyle w:val="15"/>
          <w:rFonts w:hint="eastAsia" w:ascii="仿宋" w:hAnsi="仿宋" w:eastAsia="仿宋"/>
          <w:b/>
          <w:bCs/>
          <w:color w:val="auto"/>
          <w:sz w:val="32"/>
          <w:szCs w:val="32"/>
          <w:lang w:eastAsia="zh-CN"/>
        </w:rPr>
        <w:t>事业单位基本养老保险缴费（项）：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708.02</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Style w:val="15"/>
          <w:rFonts w:hint="eastAsia" w:ascii="仿宋" w:hAnsi="仿宋" w:eastAsia="仿宋"/>
          <w:b w:val="0"/>
          <w:bCs/>
          <w:color w:val="auto"/>
          <w:sz w:val="32"/>
          <w:szCs w:val="32"/>
          <w:lang w:eastAsia="zh-CN"/>
        </w:rPr>
      </w:pPr>
      <w:r>
        <w:rPr>
          <w:rStyle w:val="15"/>
          <w:rFonts w:hint="eastAsia" w:ascii="仿宋" w:hAnsi="仿宋" w:eastAsia="仿宋"/>
          <w:bCs/>
          <w:color w:val="auto"/>
          <w:sz w:val="32"/>
          <w:szCs w:val="32"/>
          <w:lang w:val="en-US" w:eastAsia="zh-CN"/>
        </w:rPr>
        <w:t>4.</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lang w:val="en-US" w:eastAsia="zh-CN"/>
        </w:rPr>
        <w:t>（款）</w:t>
      </w:r>
      <w:r>
        <w:rPr>
          <w:rStyle w:val="15"/>
          <w:rFonts w:hint="eastAsia" w:ascii="仿宋" w:hAnsi="仿宋" w:eastAsia="仿宋"/>
          <w:b/>
          <w:bCs w:val="0"/>
          <w:color w:val="auto"/>
          <w:sz w:val="32"/>
          <w:szCs w:val="32"/>
          <w:lang w:eastAsia="zh-CN"/>
        </w:rPr>
        <w:t>机关事业单位职业年金缴费（项）</w:t>
      </w:r>
      <w:r>
        <w:rPr>
          <w:rStyle w:val="15"/>
          <w:rFonts w:hint="eastAsia" w:ascii="仿宋" w:hAnsi="仿宋" w:eastAsia="仿宋"/>
          <w:b w:val="0"/>
          <w:bCs/>
          <w:color w:val="auto"/>
          <w:sz w:val="32"/>
          <w:szCs w:val="32"/>
          <w:lang w:eastAsia="zh-CN"/>
        </w:rPr>
        <w:t>支出决算为</w:t>
      </w:r>
      <w:r>
        <w:rPr>
          <w:rStyle w:val="15"/>
          <w:rFonts w:hint="eastAsia" w:ascii="仿宋" w:hAnsi="仿宋" w:eastAsia="仿宋"/>
          <w:b w:val="0"/>
          <w:bCs/>
          <w:color w:val="auto"/>
          <w:sz w:val="32"/>
          <w:szCs w:val="32"/>
          <w:lang w:val="en-US" w:eastAsia="zh-CN"/>
        </w:rPr>
        <w:t>360.45万元，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Fonts w:hint="eastAsia" w:ascii="仿宋" w:hAnsi="仿宋" w:eastAsia="仿宋"/>
          <w:b/>
          <w:color w:val="auto"/>
          <w:sz w:val="32"/>
          <w:szCs w:val="32"/>
          <w:lang w:val="en-US" w:eastAsia="zh-CN"/>
        </w:rPr>
      </w:pPr>
      <w:r>
        <w:rPr>
          <w:rStyle w:val="15"/>
          <w:rFonts w:hint="eastAsia" w:ascii="仿宋" w:hAnsi="仿宋" w:eastAsia="仿宋"/>
          <w:bCs/>
          <w:color w:val="auto"/>
          <w:sz w:val="32"/>
          <w:szCs w:val="32"/>
          <w:lang w:val="en-US" w:eastAsia="zh-CN"/>
        </w:rPr>
        <w:t>5.</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
          <w:bCs w:val="0"/>
          <w:color w:val="auto"/>
          <w:sz w:val="32"/>
          <w:szCs w:val="32"/>
          <w:lang w:eastAsia="zh-CN"/>
        </w:rPr>
        <w:t>其他社会保障和就业支出</w:t>
      </w:r>
      <w:r>
        <w:rPr>
          <w:rStyle w:val="15"/>
          <w:rFonts w:hint="eastAsia" w:ascii="仿宋" w:hAnsi="仿宋" w:eastAsia="仿宋"/>
          <w:b/>
          <w:bCs w:val="0"/>
          <w:color w:val="auto"/>
          <w:sz w:val="32"/>
          <w:szCs w:val="32"/>
          <w:lang w:val="en-US" w:eastAsia="zh-CN"/>
        </w:rPr>
        <w:t>（款）</w:t>
      </w:r>
      <w:r>
        <w:rPr>
          <w:rStyle w:val="15"/>
          <w:rFonts w:hint="eastAsia" w:ascii="仿宋" w:hAnsi="仿宋" w:eastAsia="仿宋"/>
          <w:b/>
          <w:bCs w:val="0"/>
          <w:color w:val="auto"/>
          <w:sz w:val="32"/>
          <w:szCs w:val="32"/>
          <w:lang w:eastAsia="zh-CN"/>
        </w:rPr>
        <w:t>其他社会保障和就业（项）：</w:t>
      </w:r>
      <w:r>
        <w:rPr>
          <w:rStyle w:val="15"/>
          <w:rFonts w:hint="eastAsia" w:ascii="仿宋" w:hAnsi="仿宋" w:eastAsia="仿宋"/>
          <w:b w:val="0"/>
          <w:bCs/>
          <w:color w:val="auto"/>
          <w:sz w:val="32"/>
          <w:szCs w:val="32"/>
          <w:lang w:eastAsia="zh-CN"/>
        </w:rPr>
        <w:t>支出</w:t>
      </w:r>
      <w:r>
        <w:rPr>
          <w:rStyle w:val="15"/>
          <w:rFonts w:hint="eastAsia" w:ascii="仿宋" w:hAnsi="仿宋" w:eastAsia="仿宋"/>
          <w:b w:val="0"/>
          <w:bCs/>
          <w:color w:val="auto"/>
          <w:sz w:val="32"/>
          <w:szCs w:val="32"/>
          <w:lang w:val="en-US" w:eastAsia="zh-CN"/>
        </w:rPr>
        <w:t>决算22.95万元，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6</w:t>
      </w:r>
      <w:r>
        <w:rPr>
          <w:rStyle w:val="15"/>
          <w:rFonts w:ascii="仿宋" w:hAnsi="仿宋" w:eastAsia="仿宋"/>
          <w:bCs/>
          <w:color w:val="auto"/>
          <w:sz w:val="32"/>
          <w:szCs w:val="32"/>
        </w:rPr>
        <w:t>.</w:t>
      </w:r>
      <w:r>
        <w:rPr>
          <w:rFonts w:hint="eastAsia" w:ascii="仿宋" w:hAnsi="仿宋" w:eastAsia="仿宋"/>
          <w:b/>
          <w:bCs/>
          <w:color w:val="auto"/>
          <w:sz w:val="32"/>
          <w:szCs w:val="32"/>
        </w:rPr>
        <w:t>卫生健康</w:t>
      </w:r>
      <w:r>
        <w:rPr>
          <w:rStyle w:val="15"/>
          <w:rFonts w:hint="eastAsia" w:ascii="仿宋" w:hAnsi="仿宋" w:eastAsia="仿宋"/>
          <w:bCs/>
          <w:color w:val="auto"/>
          <w:sz w:val="32"/>
          <w:szCs w:val="32"/>
          <w:lang w:eastAsia="zh-CN"/>
        </w:rPr>
        <w:t>类</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行政事业单位医疗</w:t>
      </w:r>
      <w:r>
        <w:rPr>
          <w:rStyle w:val="15"/>
          <w:rFonts w:hint="eastAsia" w:ascii="仿宋" w:hAnsi="仿宋" w:eastAsia="仿宋"/>
          <w:bCs/>
          <w:color w:val="auto"/>
          <w:sz w:val="32"/>
          <w:szCs w:val="32"/>
          <w:lang w:val="en-US" w:eastAsia="zh-CN"/>
        </w:rPr>
        <w:t>（款）事业单位医疗（项）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414.47</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pStyle w:val="2"/>
        <w:ind w:firstLine="643"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7</w:t>
      </w:r>
      <w:r>
        <w:rPr>
          <w:rStyle w:val="15"/>
          <w:rFonts w:ascii="仿宋" w:hAnsi="仿宋" w:eastAsia="仿宋"/>
          <w:bCs/>
          <w:color w:val="auto"/>
          <w:sz w:val="32"/>
          <w:szCs w:val="32"/>
        </w:rPr>
        <w:t>.</w:t>
      </w:r>
      <w:r>
        <w:rPr>
          <w:rFonts w:hint="eastAsia" w:ascii="仿宋" w:hAnsi="仿宋" w:eastAsia="仿宋"/>
          <w:b/>
          <w:bCs/>
          <w:color w:val="auto"/>
          <w:sz w:val="32"/>
          <w:szCs w:val="32"/>
          <w:lang w:eastAsia="zh-CN"/>
        </w:rPr>
        <w:t>节能环保支出类</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污染防治</w:t>
      </w:r>
      <w:r>
        <w:rPr>
          <w:rStyle w:val="15"/>
          <w:rFonts w:hint="eastAsia" w:ascii="仿宋" w:hAnsi="仿宋" w:eastAsia="仿宋"/>
          <w:bCs/>
          <w:color w:val="auto"/>
          <w:sz w:val="32"/>
          <w:szCs w:val="32"/>
          <w:lang w:val="en-US" w:eastAsia="zh-CN"/>
        </w:rPr>
        <w:t>（款）其他污染防治（项）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4144.72</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pStyle w:val="2"/>
        <w:ind w:firstLine="643" w:firstLineChars="200"/>
        <w:rPr>
          <w:rStyle w:val="15"/>
          <w:rFonts w:hint="eastAsia" w:ascii="仿宋" w:hAnsi="仿宋" w:eastAsia="仿宋" w:cstheme="minorBidi"/>
          <w:b w:val="0"/>
          <w:bCs w:val="0"/>
          <w:color w:val="auto"/>
          <w:sz w:val="32"/>
          <w:szCs w:val="32"/>
          <w:lang w:val="en-US" w:eastAsia="zh-CN"/>
        </w:rPr>
      </w:pPr>
      <w:r>
        <w:rPr>
          <w:rStyle w:val="15"/>
          <w:rFonts w:hint="eastAsia" w:ascii="仿宋" w:hAnsi="仿宋" w:eastAsia="仿宋" w:cstheme="minorBidi"/>
          <w:bCs/>
          <w:color w:val="auto"/>
          <w:sz w:val="32"/>
          <w:szCs w:val="32"/>
          <w:lang w:val="en-US" w:eastAsia="zh-CN"/>
        </w:rPr>
        <w:t>8.资源勘探工业信息等-资源勘探开发-其他资源勘探业：</w:t>
      </w:r>
      <w:r>
        <w:rPr>
          <w:rStyle w:val="15"/>
          <w:rFonts w:hint="eastAsia" w:ascii="仿宋" w:hAnsi="仿宋" w:eastAsia="仿宋" w:cstheme="minorBidi"/>
          <w:b w:val="0"/>
          <w:bCs w:val="0"/>
          <w:color w:val="auto"/>
          <w:sz w:val="32"/>
          <w:szCs w:val="32"/>
          <w:lang w:val="en-US" w:eastAsia="zh-CN"/>
        </w:rPr>
        <w:t>支出决算为3097.41万元，完成预算100%。</w:t>
      </w:r>
    </w:p>
    <w:p>
      <w:pPr>
        <w:pStyle w:val="2"/>
        <w:ind w:firstLine="643" w:firstLineChars="200"/>
        <w:rPr>
          <w:rStyle w:val="15"/>
          <w:rFonts w:hint="eastAsia" w:ascii="仿宋" w:hAnsi="仿宋" w:eastAsia="仿宋" w:cstheme="minorBidi"/>
          <w:b w:val="0"/>
          <w:bCs w:val="0"/>
          <w:color w:val="auto"/>
          <w:sz w:val="32"/>
          <w:szCs w:val="32"/>
          <w:lang w:val="en-US" w:eastAsia="zh-CN"/>
        </w:rPr>
      </w:pPr>
      <w:r>
        <w:rPr>
          <w:rStyle w:val="15"/>
          <w:rFonts w:hint="eastAsia" w:ascii="仿宋" w:hAnsi="仿宋" w:eastAsia="仿宋" w:cstheme="minorBidi"/>
          <w:bCs/>
          <w:color w:val="auto"/>
          <w:sz w:val="32"/>
          <w:szCs w:val="32"/>
          <w:lang w:val="en-US" w:eastAsia="zh-CN"/>
        </w:rPr>
        <w:t>9.住房保障类（类）住房改革支出（款）住房公积金（项）：</w:t>
      </w:r>
      <w:r>
        <w:rPr>
          <w:rStyle w:val="15"/>
          <w:rFonts w:hint="eastAsia" w:ascii="仿宋" w:hAnsi="仿宋" w:eastAsia="仿宋" w:cstheme="minorBidi"/>
          <w:b w:val="0"/>
          <w:bCs w:val="0"/>
          <w:color w:val="auto"/>
          <w:sz w:val="32"/>
          <w:szCs w:val="32"/>
          <w:lang w:val="en-US" w:eastAsia="zh-CN"/>
        </w:rPr>
        <w:t>支出决算为491.48万元，完成预算100%。</w:t>
      </w:r>
    </w:p>
    <w:p>
      <w:pPr>
        <w:pStyle w:val="2"/>
        <w:ind w:firstLine="643" w:firstLineChars="200"/>
        <w:rPr>
          <w:rFonts w:ascii="仿宋" w:hAnsi="仿宋" w:eastAsia="仿宋"/>
          <w:color w:val="auto"/>
          <w:sz w:val="32"/>
          <w:szCs w:val="32"/>
        </w:rPr>
      </w:pPr>
      <w:r>
        <w:rPr>
          <w:rStyle w:val="15"/>
          <w:rFonts w:hint="eastAsia" w:ascii="仿宋" w:hAnsi="仿宋" w:eastAsia="仿宋" w:cstheme="minorBidi"/>
          <w:bCs/>
          <w:color w:val="auto"/>
          <w:sz w:val="32"/>
          <w:szCs w:val="32"/>
          <w:lang w:val="en-US" w:eastAsia="zh-CN"/>
        </w:rPr>
        <w:t>10.住房保障类（类）住房改革支出（款）</w:t>
      </w:r>
      <w:r>
        <w:rPr>
          <w:rStyle w:val="15"/>
          <w:rFonts w:hint="eastAsia" w:ascii="仿宋" w:hAnsi="仿宋" w:eastAsia="仿宋" w:cstheme="minorBidi"/>
          <w:b/>
          <w:bCs/>
          <w:color w:val="auto"/>
          <w:sz w:val="32"/>
          <w:szCs w:val="32"/>
          <w:lang w:val="en-US" w:eastAsia="zh-CN"/>
        </w:rPr>
        <w:t>购房补贴（项）：</w:t>
      </w:r>
      <w:r>
        <w:rPr>
          <w:rStyle w:val="15"/>
          <w:rFonts w:hint="eastAsia" w:ascii="仿宋" w:hAnsi="仿宋" w:eastAsia="仿宋" w:cstheme="minorBidi"/>
          <w:b w:val="0"/>
          <w:bCs w:val="0"/>
          <w:color w:val="auto"/>
          <w:sz w:val="32"/>
          <w:szCs w:val="32"/>
          <w:lang w:val="en-US" w:eastAsia="zh-CN"/>
        </w:rPr>
        <w:t>支出决算为529.22万元，完成预算100%。</w:t>
      </w:r>
    </w:p>
    <w:p>
      <w:pPr>
        <w:tabs>
          <w:tab w:val="right" w:pos="8306"/>
        </w:tabs>
        <w:spacing w:line="600" w:lineRule="exact"/>
        <w:ind w:firstLine="640" w:firstLineChars="200"/>
        <w:outlineLvl w:val="1"/>
        <w:rPr>
          <w:rStyle w:val="26"/>
          <w:color w:val="auto"/>
        </w:rPr>
      </w:pPr>
      <w:bookmarkStart w:id="76" w:name="_Toc18762"/>
      <w:bookmarkStart w:id="77" w:name="_Toc15377214"/>
      <w:bookmarkStart w:id="78" w:name="_Toc15396608"/>
      <w:bookmarkStart w:id="79" w:name="_Toc1260"/>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般公共预算财政拨款基本支出决算情况说明</w:t>
      </w:r>
      <w:bookmarkEnd w:id="76"/>
      <w:bookmarkEnd w:id="77"/>
      <w:bookmarkEnd w:id="78"/>
      <w:bookmarkEnd w:id="79"/>
      <w:r>
        <w:rPr>
          <w:rStyle w:val="26"/>
          <w:rFonts w:ascii="黑体" w:hAnsi="黑体" w:eastAsia="黑体"/>
          <w:b w:val="0"/>
          <w:color w:val="auto"/>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5931.24</w:t>
      </w:r>
      <w:r>
        <w:rPr>
          <w:rFonts w:hint="eastAsia" w:ascii="仿宋" w:hAnsi="仿宋" w:eastAsia="仿宋"/>
          <w:color w:val="auto"/>
          <w:sz w:val="32"/>
          <w:szCs w:val="32"/>
        </w:rPr>
        <w:t>万元，其中：</w:t>
      </w:r>
    </w:p>
    <w:p>
      <w:pPr>
        <w:spacing w:line="600" w:lineRule="exact"/>
        <w:ind w:firstLine="645"/>
        <w:rPr>
          <w:rFonts w:hint="eastAsia" w:ascii="仿宋" w:hAnsi="仿宋" w:eastAsia="仿宋"/>
          <w:color w:val="auto"/>
          <w:sz w:val="32"/>
          <w:szCs w:val="32"/>
          <w:lang w:eastAsia="zh-CN"/>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5787.43</w:t>
      </w:r>
      <w:r>
        <w:rPr>
          <w:rFonts w:hint="eastAsia" w:ascii="仿宋" w:hAnsi="仿宋" w:eastAsia="仿宋"/>
          <w:color w:val="auto"/>
          <w:sz w:val="32"/>
          <w:szCs w:val="32"/>
        </w:rPr>
        <w:t>万元，主要包括：基本工资、津贴补贴、奖金、机关事业单位基本养老保险缴费、职业年金缴费、</w:t>
      </w:r>
      <w:r>
        <w:rPr>
          <w:rFonts w:hint="eastAsia" w:ascii="仿宋" w:hAnsi="仿宋" w:eastAsia="仿宋"/>
          <w:color w:val="auto"/>
          <w:sz w:val="32"/>
          <w:szCs w:val="32"/>
          <w:lang w:eastAsia="zh-CN"/>
        </w:rPr>
        <w:t>职工基本医疗保险缴费、</w:t>
      </w:r>
      <w:r>
        <w:rPr>
          <w:rFonts w:hint="eastAsia" w:ascii="仿宋" w:hAnsi="仿宋" w:eastAsia="仿宋"/>
          <w:color w:val="auto"/>
          <w:sz w:val="32"/>
          <w:szCs w:val="32"/>
        </w:rPr>
        <w:t>其他社会保障缴费、离休费、住房公积金、其他对个人和家庭的补助支出等。</w:t>
      </w:r>
    </w:p>
    <w:p>
      <w:pPr>
        <w:spacing w:line="600" w:lineRule="exact"/>
        <w:ind w:firstLine="645"/>
        <w:rPr>
          <w:rFonts w:ascii="仿宋" w:hAnsi="仿宋" w:eastAsia="仿宋"/>
          <w:b/>
          <w:color w:val="auto"/>
          <w:sz w:val="32"/>
          <w:szCs w:val="32"/>
        </w:rPr>
      </w:pPr>
      <w:r>
        <w:rPr>
          <w:rFonts w:hint="eastAsia" w:ascii="仿宋" w:hAnsi="仿宋" w:eastAsia="仿宋"/>
          <w:color w:val="auto"/>
          <w:sz w:val="32"/>
          <w:szCs w:val="32"/>
        </w:rPr>
        <w:t>公用经费</w:t>
      </w:r>
      <w:r>
        <w:rPr>
          <w:rFonts w:hint="eastAsia" w:ascii="仿宋" w:hAnsi="仿宋" w:eastAsia="仿宋"/>
          <w:color w:val="auto"/>
          <w:sz w:val="32"/>
          <w:szCs w:val="32"/>
          <w:lang w:val="en-US" w:eastAsia="zh-CN"/>
        </w:rPr>
        <w:t>143.81</w:t>
      </w:r>
      <w:r>
        <w:rPr>
          <w:rFonts w:hint="eastAsia" w:ascii="仿宋" w:hAnsi="仿宋" w:eastAsia="仿宋"/>
          <w:color w:val="auto"/>
          <w:sz w:val="32"/>
          <w:szCs w:val="32"/>
        </w:rPr>
        <w:t>万元，主要包括：</w:t>
      </w:r>
      <w:r>
        <w:rPr>
          <w:rFonts w:hint="eastAsia" w:ascii="仿宋" w:hAnsi="仿宋" w:eastAsia="仿宋"/>
          <w:color w:val="auto"/>
          <w:sz w:val="32"/>
          <w:szCs w:val="32"/>
          <w:highlight w:val="none"/>
        </w:rPr>
        <w:t>差旅费、工会经费、福利费、其他商品和服务支出。</w:t>
      </w:r>
    </w:p>
    <w:p>
      <w:pPr>
        <w:spacing w:line="600" w:lineRule="exact"/>
        <w:ind w:firstLine="640"/>
        <w:outlineLvl w:val="1"/>
        <w:rPr>
          <w:rStyle w:val="26"/>
          <w:rFonts w:ascii="黑体" w:hAnsi="黑体" w:eastAsia="黑体"/>
          <w:b w:val="0"/>
          <w:color w:val="auto"/>
        </w:rPr>
      </w:pPr>
      <w:bookmarkStart w:id="80" w:name="_Toc15396609"/>
      <w:bookmarkStart w:id="81" w:name="_Toc15423"/>
      <w:bookmarkStart w:id="82" w:name="_Toc15377215"/>
      <w:bookmarkStart w:id="83" w:name="_Toc27511"/>
      <w:r>
        <w:rPr>
          <w:rFonts w:hint="eastAsia" w:ascii="黑体" w:eastAsia="黑体"/>
          <w:color w:val="auto"/>
          <w:sz w:val="32"/>
          <w:szCs w:val="32"/>
        </w:rPr>
        <w:t>七、</w:t>
      </w:r>
      <w:r>
        <w:rPr>
          <w:rStyle w:val="26"/>
          <w:rFonts w:hint="eastAsia" w:ascii="黑体" w:hAnsi="黑体" w:eastAsia="黑体"/>
          <w:color w:val="auto"/>
        </w:rPr>
        <w:t>“</w:t>
      </w:r>
      <w:r>
        <w:rPr>
          <w:rStyle w:val="26"/>
          <w:rFonts w:hint="eastAsia" w:ascii="黑体" w:hAnsi="黑体" w:eastAsia="黑体"/>
          <w:b w:val="0"/>
          <w:color w:val="auto"/>
        </w:rPr>
        <w:t>三公”经费财政拨款支出决算情况说明</w:t>
      </w:r>
      <w:bookmarkEnd w:id="80"/>
      <w:bookmarkEnd w:id="81"/>
      <w:bookmarkEnd w:id="82"/>
      <w:bookmarkEnd w:id="83"/>
    </w:p>
    <w:p>
      <w:pPr>
        <w:spacing w:line="600" w:lineRule="exact"/>
        <w:ind w:firstLine="640"/>
        <w:outlineLvl w:val="1"/>
        <w:rPr>
          <w:rFonts w:hint="eastAsia" w:ascii="仿宋_GB2312" w:eastAsia="仿宋_GB2312"/>
          <w:color w:val="auto"/>
          <w:sz w:val="32"/>
          <w:szCs w:val="32"/>
          <w:lang w:val="en-US" w:eastAsia="zh-CN"/>
        </w:rPr>
      </w:pPr>
      <w:bookmarkStart w:id="84" w:name="_Toc15377218"/>
      <w:bookmarkStart w:id="85" w:name="_Toc15396610"/>
      <w:r>
        <w:rPr>
          <w:rFonts w:hint="eastAsia" w:ascii="仿宋_GB2312" w:eastAsia="仿宋_GB2312"/>
          <w:color w:val="auto"/>
          <w:sz w:val="32"/>
          <w:szCs w:val="32"/>
          <w:lang w:val="en-US" w:eastAsia="zh-CN"/>
        </w:rPr>
        <w:t>本单位为事业单位，无三公经费。2019年三公经费为0，2020年三公经费为0，与上年度一致，与上年度相比无增减变化。</w:t>
      </w:r>
    </w:p>
    <w:p>
      <w:pPr>
        <w:spacing w:line="600" w:lineRule="exact"/>
        <w:ind w:firstLine="640"/>
        <w:outlineLvl w:val="1"/>
        <w:rPr>
          <w:rStyle w:val="26"/>
          <w:rFonts w:ascii="黑体" w:hAnsi="黑体" w:eastAsia="黑体"/>
          <w:color w:val="auto"/>
        </w:rPr>
      </w:pPr>
      <w:bookmarkStart w:id="86" w:name="_Toc14606"/>
      <w:bookmarkStart w:id="87" w:name="_Toc3549"/>
      <w:r>
        <w:rPr>
          <w:rFonts w:hint="eastAsia" w:ascii="黑体" w:eastAsia="黑体"/>
          <w:color w:val="auto"/>
          <w:sz w:val="32"/>
          <w:szCs w:val="32"/>
        </w:rPr>
        <w:t>八、</w:t>
      </w:r>
      <w:r>
        <w:rPr>
          <w:rStyle w:val="26"/>
          <w:rFonts w:hint="eastAsia" w:ascii="黑体" w:hAnsi="黑体" w:eastAsia="黑体"/>
          <w:b w:val="0"/>
          <w:color w:val="auto"/>
        </w:rPr>
        <w:t>政府性基金预算支出决算情况说明</w:t>
      </w:r>
      <w:bookmarkEnd w:id="84"/>
      <w:bookmarkEnd w:id="85"/>
      <w:bookmarkEnd w:id="86"/>
      <w:bookmarkEnd w:id="87"/>
    </w:p>
    <w:p>
      <w:pPr>
        <w:spacing w:line="600" w:lineRule="exact"/>
        <w:ind w:firstLine="640"/>
        <w:rPr>
          <w:rFonts w:ascii="仿宋_GB2312" w:eastAsia="仿宋_GB2312"/>
          <w:color w:val="auto"/>
          <w:sz w:val="32"/>
          <w:szCs w:val="32"/>
        </w:rPr>
      </w:pPr>
      <w:r>
        <w:rPr>
          <w:rFonts w:hint="eastAsia" w:ascii="仿宋_GB2312" w:eastAsia="仿宋_GB2312"/>
          <w:color w:val="auto"/>
          <w:sz w:val="32"/>
          <w:szCs w:val="32"/>
          <w:lang w:val="en-US" w:eastAsia="zh-CN"/>
        </w:rPr>
        <w:t>2020年，政府性基金预算财政拨款支出为零</w:t>
      </w:r>
      <w:r>
        <w:rPr>
          <w:rFonts w:hint="eastAsia" w:ascii="仿宋_GB2312" w:eastAsia="仿宋_GB2312"/>
          <w:color w:val="auto"/>
          <w:sz w:val="32"/>
          <w:szCs w:val="32"/>
        </w:rPr>
        <w:t>。</w:t>
      </w:r>
    </w:p>
    <w:p>
      <w:pPr>
        <w:numPr>
          <w:ilvl w:val="0"/>
          <w:numId w:val="3"/>
        </w:numPr>
        <w:spacing w:line="600" w:lineRule="exact"/>
        <w:ind w:firstLine="640"/>
        <w:outlineLvl w:val="1"/>
        <w:rPr>
          <w:rStyle w:val="26"/>
          <w:rFonts w:ascii="黑体" w:hAnsi="黑体" w:eastAsia="黑体"/>
          <w:b w:val="0"/>
          <w:color w:val="auto"/>
        </w:rPr>
      </w:pPr>
      <w:bookmarkStart w:id="88" w:name="_Toc24870"/>
      <w:bookmarkStart w:id="89" w:name="_Toc31688"/>
      <w:bookmarkStart w:id="90" w:name="_Toc15377219"/>
      <w:bookmarkStart w:id="91" w:name="_Toc15396611"/>
      <w:r>
        <w:rPr>
          <w:rStyle w:val="26"/>
          <w:rFonts w:hint="eastAsia" w:ascii="黑体" w:hAnsi="黑体" w:eastAsia="黑体"/>
          <w:b w:val="0"/>
          <w:color w:val="auto"/>
        </w:rPr>
        <w:t>国有资本经营预算支出决算情况说明</w:t>
      </w:r>
      <w:bookmarkEnd w:id="88"/>
      <w:bookmarkEnd w:id="89"/>
      <w:bookmarkEnd w:id="90"/>
      <w:bookmarkEnd w:id="91"/>
    </w:p>
    <w:p>
      <w:pPr>
        <w:spacing w:line="600" w:lineRule="exact"/>
        <w:ind w:firstLine="640"/>
        <w:rPr>
          <w:rFonts w:ascii="方正小标宋简体" w:hAnsi="方正小标宋简体" w:eastAsia="方正小标宋简体" w:cs="方正小标宋简体"/>
          <w:color w:val="auto"/>
          <w:sz w:val="44"/>
          <w:szCs w:val="44"/>
        </w:rPr>
      </w:pPr>
      <w:r>
        <w:rPr>
          <w:rFonts w:hint="eastAsia" w:ascii="仿宋_GB2312" w:eastAsia="仿宋_GB2312"/>
          <w:color w:val="auto"/>
          <w:sz w:val="32"/>
          <w:szCs w:val="32"/>
          <w:lang w:val="en-US" w:eastAsia="zh-CN"/>
        </w:rPr>
        <w:t>2020年，国有资本经营预算财政拨款支出为零</w:t>
      </w:r>
      <w:r>
        <w:rPr>
          <w:rFonts w:hint="eastAsia" w:ascii="仿宋_GB2312" w:eastAsia="仿宋_GB2312"/>
          <w:color w:val="auto"/>
          <w:sz w:val="32"/>
          <w:szCs w:val="32"/>
        </w:rPr>
        <w:t>。</w:t>
      </w:r>
    </w:p>
    <w:p>
      <w:pPr>
        <w:numPr>
          <w:ilvl w:val="0"/>
          <w:numId w:val="3"/>
        </w:numPr>
        <w:spacing w:line="600" w:lineRule="exact"/>
        <w:ind w:firstLine="640"/>
        <w:outlineLvl w:val="1"/>
        <w:rPr>
          <w:rStyle w:val="26"/>
          <w:rFonts w:hint="eastAsia" w:ascii="黑体" w:hAnsi="黑体" w:eastAsia="黑体"/>
          <w:b w:val="0"/>
          <w:color w:val="auto"/>
        </w:rPr>
      </w:pPr>
      <w:bookmarkStart w:id="92" w:name="_Toc3700"/>
      <w:bookmarkStart w:id="93" w:name="_Toc15377221"/>
      <w:bookmarkStart w:id="94" w:name="_Toc15396612"/>
      <w:bookmarkStart w:id="95" w:name="_Toc15809"/>
      <w:r>
        <w:rPr>
          <w:rStyle w:val="26"/>
          <w:rFonts w:hint="eastAsia" w:ascii="黑体" w:hAnsi="黑体" w:eastAsia="黑体"/>
          <w:b w:val="0"/>
          <w:color w:val="auto"/>
        </w:rPr>
        <w:t>其他重要事项的情况说明</w:t>
      </w:r>
      <w:bookmarkEnd w:id="92"/>
      <w:bookmarkEnd w:id="93"/>
      <w:bookmarkEnd w:id="94"/>
      <w:bookmarkEnd w:id="95"/>
    </w:p>
    <w:p>
      <w:pPr>
        <w:spacing w:line="600" w:lineRule="exact"/>
        <w:ind w:firstLine="643" w:firstLineChars="200"/>
        <w:outlineLvl w:val="2"/>
        <w:rPr>
          <w:rFonts w:ascii="仿宋" w:hAnsi="仿宋" w:eastAsia="仿宋"/>
          <w:color w:val="auto"/>
          <w:sz w:val="32"/>
          <w:szCs w:val="32"/>
        </w:rPr>
      </w:pPr>
      <w:bookmarkStart w:id="96" w:name="_Toc15377222"/>
      <w:r>
        <w:rPr>
          <w:rFonts w:hint="eastAsia" w:ascii="仿宋" w:hAnsi="仿宋" w:eastAsia="仿宋"/>
          <w:b/>
          <w:color w:val="auto"/>
          <w:sz w:val="32"/>
          <w:szCs w:val="32"/>
        </w:rPr>
        <w:t>（一）机关运行经费支出情况</w:t>
      </w:r>
      <w:bookmarkEnd w:id="96"/>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lang w:eastAsia="zh-CN"/>
        </w:rPr>
      </w:pPr>
      <w:bookmarkStart w:id="97" w:name="_Toc15377223"/>
      <w:r>
        <w:rPr>
          <w:rFonts w:hint="eastAsia" w:ascii="仿宋_GB2312" w:eastAsia="仿宋_GB2312"/>
          <w:color w:val="auto"/>
          <w:sz w:val="32"/>
          <w:szCs w:val="32"/>
          <w:lang w:eastAsia="zh-CN"/>
        </w:rPr>
        <w:t>本单位不涉及。</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r>
        <w:rPr>
          <w:rFonts w:hint="eastAsia" w:ascii="仿宋" w:hAnsi="仿宋" w:eastAsia="仿宋"/>
          <w:b/>
          <w:color w:val="auto"/>
          <w:sz w:val="32"/>
          <w:szCs w:val="32"/>
        </w:rPr>
        <w:t>（二）政府采购支出情况</w:t>
      </w:r>
      <w:bookmarkEnd w:id="97"/>
    </w:p>
    <w:p>
      <w:pPr>
        <w:spacing w:line="600" w:lineRule="exact"/>
        <w:ind w:firstLine="640" w:firstLineChars="200"/>
        <w:rPr>
          <w:rFonts w:hint="eastAsia" w:ascii="仿宋_GB2312" w:eastAsia="仿宋_GB2312"/>
          <w:color w:val="auto"/>
          <w:sz w:val="32"/>
          <w:szCs w:val="32"/>
          <w:lang w:val="en-US" w:eastAsia="zh-CN"/>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本单位</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98" w:name="_Toc15377224"/>
      <w:r>
        <w:rPr>
          <w:rFonts w:hint="eastAsia" w:ascii="仿宋" w:hAnsi="仿宋" w:eastAsia="仿宋"/>
          <w:b/>
          <w:color w:val="auto"/>
          <w:sz w:val="32"/>
          <w:szCs w:val="32"/>
        </w:rPr>
        <w:t>（三）国有资产占有使用情况</w:t>
      </w:r>
      <w:bookmarkEnd w:id="98"/>
    </w:p>
    <w:p>
      <w:pPr>
        <w:autoSpaceDE w:val="0"/>
        <w:autoSpaceDN w:val="0"/>
        <w:adjustRightInd w:val="0"/>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本单位</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辆，其中：其他用车</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rPr>
        <w:t>其他用车主要是用于</w:t>
      </w:r>
      <w:r>
        <w:rPr>
          <w:rFonts w:hint="eastAsia" w:ascii="仿宋_GB2312" w:eastAsia="仿宋_GB2312"/>
          <w:color w:val="auto"/>
          <w:sz w:val="32"/>
          <w:szCs w:val="32"/>
          <w:lang w:eastAsia="zh-CN"/>
        </w:rPr>
        <w:t>单位生产方面；</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台，单价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lang w:eastAsia="zh-CN"/>
        </w:rPr>
      </w:pPr>
      <w:r>
        <w:rPr>
          <w:rFonts w:hint="eastAsia" w:ascii="仿宋" w:hAnsi="仿宋" w:eastAsia="仿宋"/>
          <w:b/>
          <w:color w:val="auto"/>
          <w:sz w:val="32"/>
          <w:szCs w:val="32"/>
        </w:rPr>
        <w:t>（四）预算绩效管理情况</w:t>
      </w:r>
    </w:p>
    <w:p>
      <w:pPr>
        <w:pStyle w:val="2"/>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根据预算绩效管理要求，年终执行完毕后，对2个项目开展了绩效目标完成情况自评。从评价情况来看根据布点方案，进行现场采样，对样品进行实验分析，出具实验结果及监测报告，为风险分级工作和优先管控名录建立提供科学依据，完成了802个地块（不包含1地块无样品）的分析测试任务。项目数量指标、质量指标、经济指标、社会效益等指标均达到预期目标。</w:t>
      </w:r>
    </w:p>
    <w:p>
      <w:pPr>
        <w:spacing w:line="580" w:lineRule="exact"/>
        <w:ind w:firstLine="640" w:firstLineChars="200"/>
        <w:rPr>
          <w:rFonts w:hint="eastAsia" w:cs="Times New Roman"/>
          <w:color w:val="auto"/>
          <w:kern w:val="2"/>
          <w:sz w:val="32"/>
          <w:szCs w:val="32"/>
          <w:lang w:val="en-US" w:eastAsia="zh-CN" w:bidi="ar-SA"/>
        </w:rPr>
      </w:pPr>
      <w:r>
        <w:rPr>
          <w:rFonts w:hint="eastAsia" w:ascii="楷体_GB2312" w:hAnsi="楷体_GB2312" w:eastAsia="楷体_GB2312" w:cs="楷体_GB2312"/>
          <w:color w:val="auto"/>
          <w:sz w:val="32"/>
          <w:szCs w:val="32"/>
          <w:lang w:val="en-US" w:eastAsia="zh-CN"/>
        </w:rPr>
        <w:t>1.</w:t>
      </w:r>
      <w:r>
        <w:rPr>
          <w:rFonts w:hint="eastAsia" w:ascii="楷体_GB2312" w:hAnsi="楷体_GB2312" w:eastAsia="楷体_GB2312" w:cs="楷体_GB2312"/>
          <w:color w:val="auto"/>
          <w:sz w:val="32"/>
          <w:szCs w:val="32"/>
        </w:rPr>
        <w:t>项目绩效目标完成情况。</w:t>
      </w:r>
    </w:p>
    <w:p>
      <w:pPr>
        <w:pStyle w:val="2"/>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本单位在2020年度单位决算中反映了“重点行业企业用地土壤调查项目”“2020年第四批生态环境保护资金（土壤污染防治）”共2个项目绩效目标实际完成情况。</w:t>
      </w:r>
    </w:p>
    <w:p>
      <w:pPr>
        <w:pStyle w:val="2"/>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1）重点行业企业用地土壤调查项目绩效目标完成情况综述。项目全年预算数1299万元，执行数为1299万元，完成预算的100%。通过项目实施，完成了四川省9个市（州）共383个地块、2个区域土壤背景点、14个化工园样品采集及承担区域内土壤样品的粗制工作，项目数量指标、质量指标、经济指标、社会效益等指标均达到预期目标。</w:t>
      </w:r>
    </w:p>
    <w:p>
      <w:pPr>
        <w:pStyle w:val="2"/>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发现的主要问题：因新冠疫情影响，原采样启动计划被迫延迟，但生态环境部仍要求按原计划完成采样，因此为确保采样工作的按期、保质完成，在组织采样过程中增加了采样人员的投入。</w:t>
      </w:r>
    </w:p>
    <w:p>
      <w:pPr>
        <w:pStyle w:val="2"/>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改进措施：通过制定科学、合理的采样方案，合理安排采样工序，并积极探索新的采样工艺，缩短采样工期，确保按期完成采样任务，并降低采样成本。 </w:t>
      </w:r>
    </w:p>
    <w:p>
      <w:pPr>
        <w:pStyle w:val="2"/>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2）四川省重点行业企业用地调查分析项目绩效目标完成情况综述。项目全年预算数1146万元，执行数为1146万元，完成预算的100%。通过项目实施，对加强土壤环境污染防治和风险管控，维护公众健康，建立和完善我省土壤环境管理体系，提升土壤环境管理水平，促进土壤资源永续利用、保障人居环境安全，具有十分重要的意义。发现的主要问题：本项目实施过程中，主要问题存在于采样环节和分析测试环节进度不一致，通过及时沟通，使得本项目高效开展，最终在川内率先完成分析测试任务。</w:t>
      </w:r>
    </w:p>
    <w:p>
      <w:pPr>
        <w:pStyle w:val="2"/>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项目满意度需要提升。在项目实施过程中，客观上时间紧、任务重、数据量大；主观上前期经验不足，对数据处理及审核不够细致，虽然合格率远超技术要求规定，但是仍然出现了部分质量问题。</w:t>
      </w:r>
    </w:p>
    <w:p>
      <w:pPr>
        <w:pStyle w:val="2"/>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改进措施：前期充分介入，了解项目开展方式；优化人员仪器配置，确保分析进度；积极进行方法及流程创新，提高精度，提高效率；开发数据处理系统，确保分析上报高效、精确。</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Style w:val="2"/>
              <w:numPr>
                <w:ilvl w:val="0"/>
                <w:numId w:val="0"/>
              </w:numPr>
              <w:jc w:val="both"/>
              <w:rPr>
                <w:rFonts w:hint="eastAsia" w:ascii="宋体" w:hAnsi="宋体" w:cs="宋体"/>
                <w:b/>
                <w:bCs/>
                <w:color w:val="auto"/>
                <w:kern w:val="0"/>
                <w:sz w:val="36"/>
                <w:szCs w:val="36"/>
                <w:lang w:bidi="ar"/>
              </w:rPr>
            </w:pPr>
          </w:p>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hint="eastAsia" w:ascii="宋体" w:hAnsi="宋体" w:eastAsia="仿宋_GB2312" w:cs="宋体"/>
                <w:b/>
                <w:bCs/>
                <w:color w:val="auto"/>
                <w:kern w:val="0"/>
                <w:sz w:val="36"/>
                <w:szCs w:val="36"/>
                <w:lang w:eastAsia="zh-CN" w:bidi="ar"/>
              </w:rPr>
            </w:pPr>
            <w:r>
              <w:rPr>
                <w:rFonts w:hint="eastAsia" w:ascii="宋体" w:hAnsi="宋体" w:cs="宋体"/>
                <w:b/>
                <w:bCs/>
                <w:color w:val="auto"/>
                <w:kern w:val="0"/>
                <w:sz w:val="36"/>
                <w:szCs w:val="36"/>
                <w:lang w:bidi="ar"/>
              </w:rPr>
              <w:t>项目绩效目标完成情况表</w:t>
            </w:r>
          </w:p>
          <w:p>
            <w:pPr>
              <w:pStyle w:val="2"/>
              <w:numPr>
                <w:ilvl w:val="0"/>
                <w:numId w:val="0"/>
              </w:numPr>
              <w:ind w:firstLine="720" w:firstLineChars="200"/>
              <w:jc w:val="center"/>
              <w:rPr>
                <w:rFonts w:ascii="宋体" w:hAnsi="宋体" w:cs="宋体"/>
                <w:color w:val="auto"/>
                <w:sz w:val="36"/>
                <w:szCs w:val="36"/>
              </w:rPr>
            </w:pPr>
            <w:r>
              <w:rPr>
                <w:rFonts w:hint="eastAsia" w:ascii="宋体" w:hAnsi="宋体" w:cs="宋体"/>
                <w:color w:val="auto"/>
                <w:kern w:val="0"/>
                <w:sz w:val="36"/>
                <w:szCs w:val="36"/>
                <w:lang w:bidi="ar"/>
              </w:rPr>
              <w:t>(20</w:t>
            </w:r>
            <w:r>
              <w:rPr>
                <w:rFonts w:hint="eastAsia" w:ascii="宋体" w:hAnsi="宋体" w:cs="宋体"/>
                <w:color w:val="auto"/>
                <w:kern w:val="0"/>
                <w:sz w:val="36"/>
                <w:szCs w:val="36"/>
                <w:lang w:val="en-US" w:eastAsia="zh-CN" w:bidi="ar"/>
              </w:rPr>
              <w:t>20</w:t>
            </w:r>
            <w:r>
              <w:rPr>
                <w:rFonts w:hint="eastAsia" w:ascii="宋体" w:hAnsi="宋体" w:cs="宋体"/>
                <w:color w:val="auto"/>
                <w:kern w:val="0"/>
                <w:sz w:val="36"/>
                <w:szCs w:val="36"/>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val="en-US" w:eastAsia="zh-CN" w:bidi="ar"/>
              </w:rPr>
              <w:t>四川省重点行业企业用地调查分析项目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四川省地质矿产勘查开发局成都水文地质工程地质队</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r>
      <w:tr>
        <w:tblPrEx>
          <w:tblCellMar>
            <w:top w:w="0" w:type="dxa"/>
            <w:left w:w="0" w:type="dxa"/>
            <w:bottom w:w="0" w:type="dxa"/>
            <w:right w:w="0" w:type="dxa"/>
          </w:tblCellMar>
        </w:tblPrEx>
        <w:trPr>
          <w:trHeight w:val="64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0.00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w:t>
            </w:r>
          </w:p>
          <w:p>
            <w:pPr>
              <w:widowControl/>
              <w:jc w:val="center"/>
              <w:textAlignment w:val="center"/>
              <w:rPr>
                <w:rFonts w:ascii="宋体" w:hAnsi="宋体" w:cs="宋体"/>
                <w:color w:val="auto"/>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项目共完成了四川省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9个市（州）共383个地块、2个区域土壤背景点、14个化工园样品采集及承担区域内土壤样品的粗制工作，项目数量指标、质量指标、经济指标、社会效益等指标均达到预期目标。</w:t>
            </w:r>
          </w:p>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调查数据通过国家质量审核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调查数据通过国家质量审核</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完成2020年度工作计划时间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计划时间内完成指标值，得分</w:t>
            </w:r>
            <w:r>
              <w:rPr>
                <w:rFonts w:hint="eastAsia" w:ascii="宋体" w:hAnsi="宋体" w:cs="宋体"/>
                <w:color w:val="auto"/>
                <w:sz w:val="24"/>
                <w:lang w:val="en-US" w:eastAsia="zh-CN"/>
              </w:rPr>
              <w:t>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left="0" w:leftChars="0" w:firstLine="0" w:firstLine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项目实施未超出预算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未超出预算，得分10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p>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资金使用率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lang w:eastAsia="zh-CN"/>
              </w:rPr>
              <w:t>指标值</w:t>
            </w:r>
            <w:r>
              <w:rPr>
                <w:rFonts w:hint="eastAsia"/>
                <w:lang w:val="en-US" w:eastAsia="zh-CN"/>
              </w:rPr>
              <w:t>10：</w:t>
            </w:r>
            <w:r>
              <w:rPr>
                <w:rFonts w:hint="eastAsia"/>
              </w:rPr>
              <w:t>指标得分=资金实际使用金额/资金实际拨付金额×100%*指标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项目实施预算执行率100%，指标得分10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污染地块安全利用率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较为充分安全利用</w:t>
            </w:r>
            <w:r>
              <w:rPr>
                <w:rFonts w:hint="eastAsia" w:ascii="宋体" w:hAnsi="宋体" w:eastAsia="宋体" w:cs="宋体"/>
                <w:color w:val="auto"/>
                <w:kern w:val="0"/>
                <w:sz w:val="24"/>
                <w:szCs w:val="24"/>
                <w:lang w:val="en-US" w:eastAsia="zh-CN" w:bidi="ar"/>
              </w:rPr>
              <w:t>污染地块</w:t>
            </w:r>
            <w:r>
              <w:rPr>
                <w:rFonts w:hint="eastAsia" w:ascii="宋体" w:hAnsi="宋体" w:cs="宋体"/>
                <w:color w:val="auto"/>
                <w:kern w:val="0"/>
                <w:sz w:val="24"/>
                <w:szCs w:val="24"/>
                <w:lang w:val="en-US" w:eastAsia="zh-CN" w:bidi="ar"/>
              </w:rPr>
              <w:t>，得分3</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调查范围内土壤风险防患防控率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较有效防患防控调查范围内土壤风险，得分4</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掌握重点行业企业用地基本情况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准确掌握重点行业企业用地基本情况，得分10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指标值10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详查数据服务对象满意，得分8</w:t>
            </w:r>
          </w:p>
        </w:tc>
      </w:tr>
    </w:tbl>
    <w:p>
      <w:pPr>
        <w:pStyle w:val="2"/>
        <w:rPr>
          <w:rFonts w:hint="eastAsia"/>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Style w:val="2"/>
              <w:numPr>
                <w:ilvl w:val="0"/>
                <w:numId w:val="0"/>
              </w:numPr>
              <w:jc w:val="both"/>
              <w:rPr>
                <w:rFonts w:hint="eastAsia" w:ascii="宋体" w:hAnsi="宋体" w:cs="宋体"/>
                <w:b/>
                <w:bCs/>
                <w:color w:val="auto"/>
                <w:kern w:val="0"/>
                <w:sz w:val="36"/>
                <w:szCs w:val="36"/>
                <w:lang w:bidi="ar"/>
              </w:rPr>
            </w:pPr>
          </w:p>
          <w:p>
            <w:pPr>
              <w:pStyle w:val="2"/>
              <w:numPr>
                <w:ilvl w:val="0"/>
                <w:numId w:val="0"/>
              </w:numPr>
              <w:ind w:firstLine="723" w:firstLineChars="200"/>
              <w:jc w:val="center"/>
              <w:rPr>
                <w:rFonts w:hint="eastAsia" w:ascii="宋体" w:hAnsi="宋体" w:eastAsia="仿宋_GB2312" w:cs="宋体"/>
                <w:b/>
                <w:bCs/>
                <w:color w:val="auto"/>
                <w:kern w:val="0"/>
                <w:sz w:val="36"/>
                <w:szCs w:val="36"/>
                <w:lang w:eastAsia="zh-CN" w:bidi="ar"/>
              </w:rPr>
            </w:pPr>
            <w:r>
              <w:rPr>
                <w:rFonts w:hint="eastAsia" w:ascii="宋体" w:hAnsi="宋体" w:cs="宋体"/>
                <w:b/>
                <w:bCs/>
                <w:color w:val="auto"/>
                <w:kern w:val="0"/>
                <w:sz w:val="36"/>
                <w:szCs w:val="36"/>
                <w:lang w:bidi="ar"/>
              </w:rPr>
              <w:t>项目绩效目标完成情况表</w:t>
            </w:r>
          </w:p>
          <w:p>
            <w:pPr>
              <w:pStyle w:val="2"/>
              <w:numPr>
                <w:ilvl w:val="0"/>
                <w:numId w:val="0"/>
              </w:numPr>
              <w:ind w:firstLine="720" w:firstLineChars="200"/>
              <w:jc w:val="center"/>
              <w:rPr>
                <w:rFonts w:ascii="宋体" w:hAnsi="宋体" w:cs="宋体"/>
                <w:color w:val="auto"/>
                <w:sz w:val="36"/>
                <w:szCs w:val="36"/>
              </w:rPr>
            </w:pPr>
            <w:r>
              <w:rPr>
                <w:rFonts w:hint="eastAsia" w:ascii="宋体" w:hAnsi="宋体" w:cs="宋体"/>
                <w:color w:val="auto"/>
                <w:kern w:val="0"/>
                <w:sz w:val="36"/>
                <w:szCs w:val="36"/>
                <w:lang w:bidi="ar"/>
              </w:rPr>
              <w:t>(20</w:t>
            </w:r>
            <w:r>
              <w:rPr>
                <w:rFonts w:hint="eastAsia" w:ascii="宋体" w:hAnsi="宋体" w:cs="宋体"/>
                <w:color w:val="auto"/>
                <w:kern w:val="0"/>
                <w:sz w:val="36"/>
                <w:szCs w:val="36"/>
                <w:lang w:val="en-US" w:eastAsia="zh-CN" w:bidi="ar"/>
              </w:rPr>
              <w:t>20</w:t>
            </w:r>
            <w:r>
              <w:rPr>
                <w:rFonts w:hint="eastAsia" w:ascii="宋体" w:hAnsi="宋体" w:cs="宋体"/>
                <w:color w:val="auto"/>
                <w:kern w:val="0"/>
                <w:sz w:val="36"/>
                <w:szCs w:val="36"/>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val="en-US" w:eastAsia="zh-CN" w:bidi="ar"/>
              </w:rPr>
              <w:t>四川省重点行业企业用地调查分析项目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四川省地质矿产勘查开发局成都水文地质工程地质队</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lang w:val="en-US" w:eastAsia="zh-CN"/>
              </w:rPr>
              <w:t>1146.00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rPr>
              <w:t>1265.69</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1146.00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1146.00</w:t>
            </w:r>
          </w:p>
        </w:tc>
      </w:tr>
      <w:tr>
        <w:tblPrEx>
          <w:tblCellMar>
            <w:top w:w="0" w:type="dxa"/>
            <w:left w:w="0" w:type="dxa"/>
            <w:bottom w:w="0" w:type="dxa"/>
            <w:right w:w="0" w:type="dxa"/>
          </w:tblCellMar>
        </w:tblPrEx>
        <w:trPr>
          <w:trHeight w:val="64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119.69</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w:t>
            </w:r>
          </w:p>
          <w:p>
            <w:pPr>
              <w:widowControl/>
              <w:jc w:val="center"/>
              <w:textAlignment w:val="center"/>
              <w:rPr>
                <w:rFonts w:ascii="宋体" w:hAnsi="宋体" w:cs="宋体"/>
                <w:color w:val="auto"/>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项目共完成了四川省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9个市（州）共383个地块、2个区域土壤背景点、14个化工园样品采集及承担区域内土壤样品的粗制工作，项目数量指标、质量指标、经济指标、社会效益等指标均达到预期目标。</w:t>
            </w:r>
          </w:p>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调查数据通过国家质量审核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调查数据通过国家质量审核</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完成2020年度工作计划时间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计划时间内完成指标值，得分</w:t>
            </w:r>
            <w:r>
              <w:rPr>
                <w:rFonts w:hint="eastAsia" w:ascii="宋体" w:hAnsi="宋体" w:cs="宋体"/>
                <w:color w:val="auto"/>
                <w:sz w:val="24"/>
                <w:lang w:val="en-US" w:eastAsia="zh-CN"/>
              </w:rPr>
              <w:t>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left="0" w:leftChars="0" w:firstLine="0" w:firstLine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项目实施未超出预算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未超出预算，得分10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p>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资金使用率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lang w:eastAsia="zh-CN"/>
              </w:rPr>
              <w:t>指标值</w:t>
            </w:r>
            <w:r>
              <w:rPr>
                <w:rFonts w:hint="eastAsia"/>
                <w:lang w:val="en-US" w:eastAsia="zh-CN"/>
              </w:rPr>
              <w:t>10：</w:t>
            </w:r>
            <w:r>
              <w:rPr>
                <w:rFonts w:hint="eastAsia"/>
              </w:rPr>
              <w:t>指标得分=资金实际使用金额/资金实际拨付金额×100%*指标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项目实施预算执行率100%，指标得分10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污染地块安全利用率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较为充分安全利用</w:t>
            </w:r>
            <w:r>
              <w:rPr>
                <w:rFonts w:hint="eastAsia" w:ascii="宋体" w:hAnsi="宋体" w:eastAsia="宋体" w:cs="宋体"/>
                <w:color w:val="auto"/>
                <w:kern w:val="0"/>
                <w:sz w:val="24"/>
                <w:szCs w:val="24"/>
                <w:lang w:val="en-US" w:eastAsia="zh-CN" w:bidi="ar"/>
              </w:rPr>
              <w:t>污染地块</w:t>
            </w:r>
            <w:r>
              <w:rPr>
                <w:rFonts w:hint="eastAsia" w:ascii="宋体" w:hAnsi="宋体" w:cs="宋体"/>
                <w:color w:val="auto"/>
                <w:kern w:val="0"/>
                <w:sz w:val="24"/>
                <w:szCs w:val="24"/>
                <w:lang w:val="en-US" w:eastAsia="zh-CN" w:bidi="ar"/>
              </w:rPr>
              <w:t>，得分6</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调查范围内土壤风险防患防控率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较有效防患防控调查范围内土壤风险，得分5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掌握重点行业企业用地基本情况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准确掌握重点行业企业用地基本情况，得分6</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指标值10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详查数据服务对象满意，得分9</w:t>
            </w:r>
          </w:p>
        </w:tc>
      </w:tr>
    </w:tbl>
    <w:p>
      <w:pPr>
        <w:spacing w:line="580" w:lineRule="exact"/>
        <w:rPr>
          <w:rFonts w:hint="eastAsia" w:ascii="楷体_GB2312" w:hAnsi="楷体_GB2312" w:eastAsia="楷体_GB2312" w:cs="楷体_GB2312"/>
          <w:color w:val="auto"/>
          <w:sz w:val="32"/>
          <w:szCs w:val="32"/>
        </w:rPr>
      </w:pPr>
    </w:p>
    <w:p>
      <w:pPr>
        <w:spacing w:line="580" w:lineRule="exact"/>
        <w:rPr>
          <w:rFonts w:hint="eastAsia" w:ascii="楷体_GB2312" w:hAnsi="楷体_GB2312" w:eastAsia="楷体_GB2312" w:cs="楷体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tabs>
          <w:tab w:val="left" w:pos="3885"/>
        </w:tabs>
        <w:snapToGrid w:val="0"/>
        <w:spacing w:line="600" w:lineRule="exact"/>
        <w:ind w:firstLine="640" w:firstLineChars="200"/>
        <w:jc w:val="left"/>
        <w:rPr>
          <w:rFonts w:ascii="仿宋_GB2312" w:eastAsia="仿宋_GB2312"/>
          <w:b/>
          <w:color w:val="auto"/>
          <w:sz w:val="32"/>
          <w:szCs w:val="32"/>
        </w:rPr>
      </w:pPr>
      <w:r>
        <w:rPr>
          <w:rFonts w:hint="eastAsia" w:ascii="仿宋_GB2312" w:hAnsi="仿宋_GB2312" w:eastAsia="仿宋_GB2312" w:cs="仿宋_GB2312"/>
          <w:color w:val="auto"/>
          <w:sz w:val="32"/>
          <w:szCs w:val="32"/>
        </w:rPr>
        <w:t>本单位自行组织对</w:t>
      </w:r>
      <w:r>
        <w:rPr>
          <w:rFonts w:hint="eastAsia" w:ascii="仿宋_GB2312" w:hAnsi="仿宋_GB2312" w:eastAsia="仿宋_GB2312" w:cs="仿宋_GB2312"/>
          <w:color w:val="auto"/>
          <w:sz w:val="32"/>
          <w:szCs w:val="32"/>
          <w:lang w:val="en-US" w:eastAsia="zh-CN"/>
        </w:rPr>
        <w:t>四川省重点行业企业用地调查分析</w:t>
      </w:r>
      <w:r>
        <w:rPr>
          <w:rFonts w:hint="eastAsia" w:ascii="仿宋_GB2312" w:hAnsi="仿宋_GB2312" w:eastAsia="仿宋_GB2312" w:cs="仿宋_GB2312"/>
          <w:color w:val="auto"/>
          <w:sz w:val="32"/>
          <w:szCs w:val="32"/>
        </w:rPr>
        <w:t>项目开展了绩效评价，《2020年四川省重点行业企业用地调查采样项目支出绩效自评报告》见附件</w:t>
      </w:r>
      <w:r>
        <w:rPr>
          <w:rFonts w:hint="eastAsia" w:ascii="仿宋_GB2312" w:hAnsi="仿宋_GB2312" w:eastAsia="仿宋_GB2312" w:cs="仿宋_GB2312"/>
          <w:color w:val="auto"/>
          <w:sz w:val="32"/>
          <w:szCs w:val="32"/>
          <w:lang w:eastAsia="zh-CN"/>
        </w:rPr>
        <w:t>（第四部分）</w:t>
      </w:r>
      <w:r>
        <w:rPr>
          <w:rFonts w:hint="eastAsia" w:ascii="仿宋_GB2312" w:hAnsi="仿宋_GB2312" w:eastAsia="仿宋_GB2312" w:cs="仿宋_GB2312"/>
          <w:color w:val="auto"/>
          <w:sz w:val="32"/>
          <w:szCs w:val="32"/>
        </w:rPr>
        <w:t>。</w:t>
      </w: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99" w:name="_Toc7099"/>
      <w:bookmarkStart w:id="100" w:name="_Toc12243"/>
      <w:bookmarkStart w:id="101" w:name="_Toc14320"/>
      <w:bookmarkStart w:id="102" w:name="_Toc8145"/>
      <w:bookmarkStart w:id="103" w:name="_Toc15396613"/>
      <w:bookmarkStart w:id="104"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99"/>
      <w:bookmarkEnd w:id="100"/>
      <w:bookmarkEnd w:id="101"/>
      <w:bookmarkEnd w:id="102"/>
      <w:bookmarkEnd w:id="103"/>
      <w:bookmarkEnd w:id="104"/>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lang w:eastAsia="zh-CN"/>
        </w:rPr>
        <w:t>使用非财政拨款结余</w:t>
      </w:r>
      <w:r>
        <w:rPr>
          <w:rFonts w:hint="eastAsia" w:ascii="仿宋_GB2312" w:eastAsia="仿宋_GB2312"/>
          <w:sz w:val="32"/>
          <w:szCs w:val="32"/>
        </w:rPr>
        <w:t>：指事业单位</w:t>
      </w:r>
      <w:r>
        <w:rPr>
          <w:rFonts w:hint="eastAsia" w:ascii="仿宋_GB2312" w:eastAsia="仿宋_GB2312"/>
          <w:sz w:val="32"/>
          <w:szCs w:val="32"/>
          <w:lang w:eastAsia="zh-CN"/>
        </w:rPr>
        <w:t>使用以前年度积累的非财政拨款结余弥补当年收支差额的金额</w:t>
      </w:r>
      <w:r>
        <w:rPr>
          <w:rFonts w:hint="eastAsia" w:ascii="仿宋_GB2312" w:eastAsia="仿宋_GB2312"/>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科学技术</w:t>
      </w:r>
      <w:r>
        <w:rPr>
          <w:rFonts w:hint="eastAsia" w:ascii="仿宋_GB2312" w:eastAsia="仿宋_GB2312"/>
          <w:color w:val="000000"/>
          <w:sz w:val="32"/>
          <w:szCs w:val="32"/>
          <w:lang w:eastAsia="zh-CN"/>
        </w:rPr>
        <w:t>生产</w:t>
      </w:r>
      <w:r>
        <w:rPr>
          <w:rFonts w:hint="eastAsia" w:ascii="仿宋_GB2312" w:eastAsia="仿宋_GB2312"/>
          <w:color w:val="000000"/>
          <w:sz w:val="32"/>
          <w:szCs w:val="32"/>
        </w:rPr>
        <w:t>：</w:t>
      </w:r>
      <w:r>
        <w:rPr>
          <w:rFonts w:hint="eastAsia" w:ascii="仿宋_GB2312" w:eastAsia="仿宋_GB2312"/>
          <w:color w:val="000000"/>
          <w:sz w:val="32"/>
          <w:szCs w:val="32"/>
          <w:lang w:eastAsia="zh-CN"/>
        </w:rPr>
        <w:t>反映科学技术方面的支出。</w:t>
      </w:r>
      <w:r>
        <w:rPr>
          <w:rFonts w:hint="eastAsia" w:ascii="仿宋_GB2312" w:eastAsia="仿宋_GB2312"/>
          <w:color w:val="000000"/>
          <w:sz w:val="32"/>
          <w:szCs w:val="32"/>
        </w:rPr>
        <w:t>指</w:t>
      </w:r>
      <w:r>
        <w:rPr>
          <w:rFonts w:hint="eastAsia" w:ascii="仿宋_GB2312" w:eastAsia="仿宋_GB2312"/>
          <w:color w:val="000000"/>
          <w:sz w:val="32"/>
          <w:szCs w:val="32"/>
          <w:lang w:eastAsia="zh-CN"/>
        </w:rPr>
        <w:t>第一批省级科技计划项目资金（典型污染介质污染源识别自动化分析技术研究）</w:t>
      </w:r>
      <w:r>
        <w:rPr>
          <w:rFonts w:hint="eastAsia" w:ascii="仿宋_GB2312" w:eastAsia="仿宋_GB2312"/>
          <w:color w:val="000000"/>
          <w:sz w:val="32"/>
          <w:szCs w:val="32"/>
        </w:rPr>
        <w:t>。</w:t>
      </w:r>
    </w:p>
    <w:p>
      <w:pPr>
        <w:spacing w:line="240" w:lineRule="auto"/>
        <w:ind w:firstLine="640" w:firstLineChars="200"/>
        <w:rPr>
          <w:rFonts w:hint="eastAsia" w:ascii="仿宋_GB2312" w:eastAsia="仿宋_GB2312"/>
          <w:bCs w:val="0"/>
          <w:color w:val="000000"/>
          <w:sz w:val="32"/>
          <w:szCs w:val="32"/>
        </w:rPr>
      </w:pPr>
      <w:r>
        <w:rPr>
          <w:rFonts w:hint="eastAsia" w:ascii="仿宋_GB2312" w:eastAsia="仿宋_GB2312"/>
          <w:bCs w:val="0"/>
          <w:color w:val="000000"/>
          <w:sz w:val="32"/>
          <w:szCs w:val="32"/>
          <w:lang w:eastAsia="zh-CN"/>
        </w:rPr>
        <w:t>7、</w:t>
      </w:r>
      <w:r>
        <w:rPr>
          <w:rFonts w:hint="eastAsia" w:ascii="仿宋_GB2312" w:eastAsia="仿宋_GB2312"/>
          <w:bCs w:val="0"/>
          <w:color w:val="000000"/>
          <w:sz w:val="32"/>
          <w:szCs w:val="32"/>
        </w:rPr>
        <w:t>社会保障和就业支出（类）行政事业单位养老支出（款）事业单位离退休（项）：指用于局属事业单位离休人员工资及生活补贴。</w:t>
      </w:r>
    </w:p>
    <w:p>
      <w:pPr>
        <w:spacing w:line="240" w:lineRule="auto"/>
        <w:ind w:firstLine="640" w:firstLineChars="200"/>
        <w:rPr>
          <w:rFonts w:hint="eastAsia" w:ascii="仿宋_GB2312" w:eastAsia="仿宋_GB2312"/>
          <w:bCs w:val="0"/>
          <w:color w:val="000000"/>
          <w:sz w:val="32"/>
          <w:szCs w:val="32"/>
          <w:lang w:eastAsia="zh-CN"/>
        </w:rPr>
      </w:pPr>
      <w:r>
        <w:rPr>
          <w:rFonts w:hint="eastAsia" w:ascii="仿宋_GB2312" w:eastAsia="仿宋_GB2312"/>
          <w:bCs w:val="0"/>
          <w:color w:val="000000"/>
          <w:sz w:val="32"/>
          <w:szCs w:val="32"/>
          <w:lang w:val="en-US" w:eastAsia="zh-CN"/>
        </w:rPr>
        <w:t>8、</w:t>
      </w:r>
      <w:r>
        <w:rPr>
          <w:rFonts w:hint="eastAsia" w:ascii="仿宋_GB2312" w:eastAsia="仿宋_GB2312"/>
          <w:bCs w:val="0"/>
          <w:color w:val="000000"/>
          <w:sz w:val="32"/>
          <w:szCs w:val="32"/>
        </w:rPr>
        <w:t>社会保障和就业（类）行政事业单位养老支出（款）机关事业单位基本养老保险缴费支出（项）：指部门实施养老保险制度由单位缴纳的养老保险费的支出。</w:t>
      </w:r>
    </w:p>
    <w:p>
      <w:pPr>
        <w:spacing w:line="240" w:lineRule="auto"/>
        <w:ind w:firstLine="640" w:firstLineChars="200"/>
        <w:rPr>
          <w:rFonts w:hint="eastAsia" w:ascii="仿宋_GB2312" w:eastAsia="仿宋_GB2312"/>
          <w:bCs w:val="0"/>
          <w:color w:val="000000"/>
          <w:sz w:val="32"/>
          <w:szCs w:val="32"/>
        </w:rPr>
      </w:pPr>
      <w:r>
        <w:rPr>
          <w:rFonts w:hint="eastAsia" w:ascii="仿宋_GB2312" w:eastAsia="仿宋_GB2312"/>
          <w:bCs w:val="0"/>
          <w:color w:val="000000"/>
          <w:sz w:val="32"/>
          <w:szCs w:val="32"/>
          <w:lang w:eastAsia="zh-CN"/>
        </w:rPr>
        <w:t>9、</w:t>
      </w:r>
      <w:r>
        <w:rPr>
          <w:rFonts w:hint="eastAsia" w:ascii="仿宋_GB2312" w:eastAsia="仿宋_GB2312"/>
          <w:bCs w:val="0"/>
          <w:color w:val="000000"/>
          <w:sz w:val="32"/>
          <w:szCs w:val="32"/>
        </w:rPr>
        <w:t>社会保障和就业（类）行政事业单位养老支出（款）机关事业单位职业年金缴费支出（项）：指部门实施养老保险制度由单位缴纳的职业年金的支出。</w:t>
      </w:r>
    </w:p>
    <w:p>
      <w:pPr>
        <w:ind w:firstLine="640" w:firstLineChars="200"/>
        <w:rPr>
          <w:rFonts w:hint="eastAsia" w:ascii="仿宋_GB2312" w:eastAsia="仿宋_GB2312"/>
          <w:color w:val="000000"/>
          <w:sz w:val="32"/>
          <w:szCs w:val="32"/>
        </w:rPr>
      </w:pPr>
      <w:r>
        <w:rPr>
          <w:rFonts w:hint="eastAsia" w:ascii="仿宋_GB2312" w:eastAsia="仿宋_GB2312"/>
          <w:bCs w:val="0"/>
          <w:color w:val="000000"/>
          <w:sz w:val="32"/>
          <w:szCs w:val="32"/>
          <w:lang w:val="en-US" w:eastAsia="zh-CN"/>
        </w:rPr>
        <w:t>10、</w:t>
      </w:r>
      <w:r>
        <w:rPr>
          <w:rFonts w:hint="eastAsia" w:ascii="仿宋_GB2312" w:eastAsia="仿宋_GB2312"/>
          <w:bCs w:val="0"/>
          <w:color w:val="000000"/>
          <w:sz w:val="32"/>
          <w:szCs w:val="32"/>
        </w:rPr>
        <w:t>社会保障和就业支出（类）抚恤（款）死亡抚恤（项）：指用于局属事业单位职工死亡抚恤金。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社会保障和就业（类）其他社会保障和就业支出（款）其他社会保障和就业支出（项）：指用于行政事业单位离退休其他方面的支出（6.30人员特殊困难补助）。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卫生健康支出（类）行政事业单位医疗（款）事业单位医疗（项）：指局机关及所属事业单位用于缴纳单位基本医疗保险支出。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节能环保</w:t>
      </w:r>
      <w:r>
        <w:rPr>
          <w:rFonts w:hint="eastAsia" w:ascii="仿宋_GB2312" w:eastAsia="仿宋_GB2312"/>
          <w:color w:val="000000"/>
          <w:sz w:val="32"/>
          <w:szCs w:val="32"/>
          <w:lang w:eastAsia="zh-CN"/>
        </w:rPr>
        <w:t>支出，是只污染防治，在治理大气、水体、噪声、固体废弃物、放射性物质等方面的支出。</w:t>
      </w:r>
    </w:p>
    <w:p>
      <w:pPr>
        <w:spacing w:line="600" w:lineRule="exact"/>
        <w:ind w:firstLine="640" w:firstLineChars="200"/>
        <w:rPr>
          <w:rFonts w:eastAsia="方正仿宋简体"/>
          <w:bCs/>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住房保障（类）住房改革支出（款）住房公积金（项）：指用于行政事业单位按规定为在职职工缴纳的住房公积金。</w:t>
      </w:r>
    </w:p>
    <w:p>
      <w:pPr>
        <w:ind w:firstLine="640" w:firstLineChars="200"/>
        <w:rPr>
          <w:rFonts w:hint="eastAsia" w:ascii="仿宋_GB2312" w:hAnsi="Calibri" w:eastAsia="仿宋_GB2312" w:cs="仿宋"/>
          <w:color w:val="000000"/>
          <w:kern w:val="0"/>
          <w:sz w:val="32"/>
          <w:szCs w:val="32"/>
          <w:lang w:val="en-US" w:eastAsia="zh-CN" w:bidi="ar-SA"/>
        </w:rPr>
      </w:pPr>
      <w:r>
        <w:rPr>
          <w:rFonts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资源勘探信息等支出（类）资源勘探开发（款）其他资源勘探业支出（项）：指局所属事业单位用于保障机构正常运行、开展日常工作的基本支出。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spacing w:line="600" w:lineRule="exact"/>
        <w:jc w:val="center"/>
        <w:outlineLvl w:val="0"/>
        <w:rPr>
          <w:rStyle w:val="25"/>
          <w:rFonts w:ascii="黑体" w:hAnsi="黑体" w:eastAsia="黑体"/>
          <w:b w:val="0"/>
        </w:rPr>
      </w:pPr>
      <w:bookmarkStart w:id="105" w:name="_Toc15377226"/>
      <w:r>
        <w:rPr>
          <w:rFonts w:ascii="宋体"/>
          <w:b/>
          <w:color w:val="000000"/>
          <w:sz w:val="44"/>
          <w:szCs w:val="44"/>
        </w:rPr>
        <w:br w:type="page"/>
      </w:r>
      <w:bookmarkStart w:id="106" w:name="_Toc12729"/>
      <w:bookmarkStart w:id="107" w:name="_Toc20334"/>
      <w:bookmarkStart w:id="108" w:name="_Toc26782"/>
      <w:bookmarkStart w:id="109" w:name="_Toc11376"/>
      <w:bookmarkStart w:id="110"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106"/>
      <w:bookmarkEnd w:id="107"/>
      <w:bookmarkEnd w:id="108"/>
      <w:bookmarkEnd w:id="109"/>
      <w:bookmarkEnd w:id="110"/>
    </w:p>
    <w:p>
      <w:pPr>
        <w:spacing w:line="58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宋体" w:eastAsia="方正小标宋简体" w:cs="Times New Roman"/>
          <w:color w:val="auto"/>
          <w:kern w:val="0"/>
          <w:sz w:val="44"/>
          <w:szCs w:val="44"/>
          <w:lang w:val="zh-CN" w:eastAsia="zh-CN" w:bidi="ar-SA"/>
        </w:rPr>
      </w:pPr>
      <w:r>
        <w:rPr>
          <w:rFonts w:hint="eastAsia" w:ascii="方正小标宋简体" w:hAnsi="宋体" w:eastAsia="方正小标宋简体" w:cs="Times New Roman"/>
          <w:color w:val="auto"/>
          <w:kern w:val="0"/>
          <w:sz w:val="44"/>
          <w:szCs w:val="44"/>
          <w:lang w:val="zh-CN" w:eastAsia="zh-CN" w:bidi="ar-SA"/>
        </w:rPr>
        <w:t>2020年四川省重点行业企业用地调查采样项目支出绩效自评报告</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_GB2312" w:hAnsi="宋体" w:eastAsia="仿宋_GB2312" w:cs="Times New Roman"/>
          <w:color w:val="auto"/>
          <w:kern w:val="2"/>
          <w:sz w:val="32"/>
          <w:szCs w:val="32"/>
          <w:lang w:val="zh-CN" w:eastAsia="zh-CN" w:bidi="ar-SA"/>
        </w:rPr>
      </w:pPr>
      <w:r>
        <w:rPr>
          <w:rFonts w:hint="eastAsia" w:ascii="仿宋_GB2312" w:hAnsi="宋体" w:eastAsia="仿宋_GB2312" w:cs="Times New Roman"/>
          <w:color w:val="auto"/>
          <w:kern w:val="2"/>
          <w:sz w:val="32"/>
          <w:szCs w:val="32"/>
          <w:lang w:val="zh-CN" w:eastAsia="zh-CN" w:bidi="ar-SA"/>
        </w:rPr>
        <w:t>（项目单位自评）</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lang w:val="zh-CN" w:eastAsia="zh-CN" w:bidi="ar-SA"/>
        </w:rPr>
      </w:pPr>
    </w:p>
    <w:p>
      <w:pPr>
        <w:numPr>
          <w:ilvl w:val="0"/>
          <w:numId w:val="5"/>
        </w:numPr>
        <w:tabs>
          <w:tab w:val="left" w:pos="3885"/>
        </w:tabs>
        <w:snapToGrid w:val="0"/>
        <w:spacing w:line="600" w:lineRule="exact"/>
        <w:ind w:firstLine="562" w:firstLineChars="200"/>
        <w:jc w:val="left"/>
        <w:rPr>
          <w:rFonts w:ascii="黑体" w:hAnsi="宋体" w:eastAsia="黑体"/>
          <w:b/>
          <w:bCs/>
          <w:sz w:val="28"/>
          <w:szCs w:val="22"/>
        </w:rPr>
      </w:pPr>
      <w:bookmarkStart w:id="111" w:name="_Toc15396618"/>
      <w:r>
        <w:rPr>
          <w:rFonts w:hint="eastAsia" w:ascii="黑体" w:hAnsi="宋体" w:eastAsia="黑体"/>
          <w:b/>
          <w:bCs/>
          <w:sz w:val="28"/>
          <w:szCs w:val="22"/>
        </w:rPr>
        <w:t>基本情况</w:t>
      </w:r>
    </w:p>
    <w:p>
      <w:pPr>
        <w:numPr>
          <w:ilvl w:val="0"/>
          <w:numId w:val="6"/>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项目概况</w:t>
      </w:r>
    </w:p>
    <w:p>
      <w:pPr>
        <w:pStyle w:val="2"/>
        <w:ind w:firstLine="560"/>
        <w:rPr>
          <w:lang w:val="zh-CN"/>
        </w:rPr>
      </w:pPr>
      <w:r>
        <w:rPr>
          <w:rFonts w:hint="eastAsia"/>
        </w:rPr>
        <w:t>四川省</w:t>
      </w:r>
      <w:r>
        <w:rPr>
          <w:rFonts w:hint="eastAsia"/>
          <w:lang w:val="zh-CN"/>
        </w:rPr>
        <w:t>重点行业企业用地调查</w:t>
      </w:r>
      <w:r>
        <w:rPr>
          <w:rFonts w:hint="eastAsia"/>
        </w:rPr>
        <w:t>采样</w:t>
      </w:r>
      <w:r>
        <w:rPr>
          <w:rFonts w:hint="eastAsia"/>
          <w:lang w:val="zh-CN"/>
        </w:rPr>
        <w:t>项目是我国首次大范围、全覆盖进行重点行业企业用地调查工作，也是国家实施生态文明建设、绿水青山就是金山银山发展理念的重点项目。</w:t>
      </w:r>
    </w:p>
    <w:p>
      <w:pPr>
        <w:pStyle w:val="2"/>
        <w:ind w:firstLine="560"/>
        <w:rPr>
          <w:lang w:val="zh-CN"/>
        </w:rPr>
      </w:pPr>
      <w:r>
        <w:rPr>
          <w:rFonts w:hint="eastAsia"/>
          <w:lang w:val="zh-CN"/>
        </w:rPr>
        <w:t>四川省地质工程勘察院集团有限公司承担</w:t>
      </w:r>
      <w:r>
        <w:rPr>
          <w:rFonts w:hint="eastAsia"/>
        </w:rPr>
        <w:t>了</w:t>
      </w:r>
      <w:r>
        <w:rPr>
          <w:rFonts w:hint="eastAsia"/>
          <w:lang w:val="zh-CN"/>
        </w:rPr>
        <w:t>9个市（州）共383个地块、2个区域土壤背景点、14个化工园样品采集及承担区域内土壤样品的粗制工作。</w:t>
      </w:r>
    </w:p>
    <w:p>
      <w:pPr>
        <w:numPr>
          <w:ilvl w:val="0"/>
          <w:numId w:val="6"/>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项目实施情况</w:t>
      </w:r>
    </w:p>
    <w:p>
      <w:pPr>
        <w:pStyle w:val="2"/>
        <w:ind w:firstLine="560"/>
      </w:pPr>
      <w:r>
        <w:rPr>
          <w:rFonts w:hint="eastAsia"/>
        </w:rPr>
        <w:t>2019年底，四川省启动了重点行业企业用地土壤污染状况详查工作，并要求于2020年年底前掌握全省重点行业企业用地中污染地块的分布及其环境风险情况。</w:t>
      </w:r>
    </w:p>
    <w:p>
      <w:pPr>
        <w:rPr>
          <w:sz w:val="28"/>
          <w:szCs w:val="22"/>
          <w:lang w:val="zh-CN"/>
        </w:rPr>
      </w:pPr>
      <w:r>
        <w:rPr>
          <w:rFonts w:hint="eastAsia"/>
        </w:rPr>
        <w:t xml:space="preserve">  </w:t>
      </w:r>
      <w:r>
        <w:rPr>
          <w:rFonts w:hint="eastAsia" w:ascii="仿宋_GB2312" w:hAnsi="Times New Roman" w:eastAsia="仿宋_GB2312" w:cs="Times New Roman"/>
          <w:kern w:val="0"/>
          <w:sz w:val="30"/>
          <w:szCs w:val="24"/>
          <w:lang w:val="en-US" w:eastAsia="zh-CN" w:bidi="ar-SA"/>
        </w:rPr>
        <w:t xml:space="preserve">  </w:t>
      </w:r>
      <w:r>
        <w:rPr>
          <w:rFonts w:hint="eastAsia" w:ascii="仿宋_GB2312" w:hAnsi="Times New Roman" w:eastAsia="仿宋_GB2312" w:cs="Times New Roman"/>
          <w:kern w:val="0"/>
          <w:sz w:val="30"/>
          <w:szCs w:val="24"/>
          <w:lang w:val="zh-CN" w:eastAsia="zh-CN" w:bidi="ar-SA"/>
        </w:rPr>
        <w:t xml:space="preserve"> </w:t>
      </w:r>
      <w:bookmarkStart w:id="112" w:name="_Hlk75348294"/>
      <w:r>
        <w:rPr>
          <w:rFonts w:hint="eastAsia" w:ascii="仿宋_GB2312" w:hAnsi="Times New Roman" w:eastAsia="仿宋_GB2312" w:cs="Times New Roman"/>
          <w:kern w:val="0"/>
          <w:sz w:val="30"/>
          <w:szCs w:val="24"/>
          <w:lang w:val="zh-CN" w:eastAsia="zh-CN" w:bidi="ar-SA"/>
        </w:rPr>
        <w:t>按照四川省生态环境厅的统一安排，四川省企业用地调查工作的采样工作于2019年12月完成资金申报，我单位根据项目下达任务，依据《工程勘察设计标准》（2002年修订本）、川价函[2007]6号四川省环境监测收费标准编制了四川省重点行业企业用地调查采样预算书。</w:t>
      </w:r>
    </w:p>
    <w:bookmarkEnd w:id="112"/>
    <w:p>
      <w:pPr>
        <w:pStyle w:val="2"/>
        <w:ind w:firstLine="560"/>
      </w:pPr>
      <w:r>
        <w:rPr>
          <w:rFonts w:hint="eastAsia"/>
        </w:rPr>
        <w:t>为进一步贯彻国家、省级的重点行业企业用地调查技术规定，进一步贯彻落实《四川省重点行业企业用地初步采样调查实施方案》，规范重点行业企业用地调查项目采样、样品流转、收样、粗制样、质控等环节的具体工作，2019年，我单位编制了《四川省重点行业企业用地调查采样实施方案》及《四川省重点行业企业用地调查采样质量控制方案》并在全流程中严格执行。方案中对人员安排、仪器配置、物资耗材管理、项目开展流程、质量控制方式等方面进行了充分的描述，并于2020年1月在国家试点地块中，进一步规范了技术人员的实际采样操作。</w:t>
      </w:r>
    </w:p>
    <w:p>
      <w:pPr>
        <w:pStyle w:val="2"/>
        <w:ind w:firstLine="560"/>
      </w:pPr>
      <w:r>
        <w:rPr>
          <w:rFonts w:hint="eastAsia"/>
        </w:rPr>
        <w:t>2019年1</w:t>
      </w:r>
      <w:r>
        <w:t>0</w:t>
      </w:r>
      <w:r>
        <w:rPr>
          <w:rFonts w:hint="eastAsia"/>
        </w:rPr>
        <w:t>月，我单位正式启动采样工作，项目组成员严格按照既定方案开展工作，坚持财政资金专款专用，以优质高效完成采样工作为目标，明确分工、倒排工期，于</w:t>
      </w:r>
      <w:r>
        <w:t>8</w:t>
      </w:r>
      <w:r>
        <w:rPr>
          <w:rFonts w:hint="eastAsia"/>
        </w:rPr>
        <w:t>月</w:t>
      </w:r>
      <w:r>
        <w:t>23</w:t>
      </w:r>
      <w:r>
        <w:rPr>
          <w:rFonts w:hint="eastAsia"/>
        </w:rPr>
        <w:t>日优质高效完成了野外采样任务。</w:t>
      </w:r>
    </w:p>
    <w:p>
      <w:pPr>
        <w:numPr>
          <w:ilvl w:val="0"/>
          <w:numId w:val="0"/>
        </w:numPr>
        <w:adjustRightInd w:val="0"/>
        <w:snapToGrid w:val="0"/>
        <w:spacing w:line="580" w:lineRule="exact"/>
        <w:ind w:firstLine="562" w:firstLineChars="200"/>
      </w:pPr>
      <w:r>
        <w:rPr>
          <w:rFonts w:hint="eastAsia" w:ascii="楷体_GB2312" w:hAnsi="宋体" w:eastAsia="楷体_GB2312"/>
          <w:b/>
          <w:sz w:val="28"/>
          <w:szCs w:val="36"/>
          <w:lang w:eastAsia="zh-CN"/>
        </w:rPr>
        <w:t>（三）</w:t>
      </w:r>
      <w:r>
        <w:rPr>
          <w:rFonts w:hint="eastAsia" w:ascii="楷体_GB2312" w:hAnsi="宋体" w:eastAsia="楷体_GB2312"/>
          <w:b/>
          <w:sz w:val="28"/>
          <w:szCs w:val="36"/>
        </w:rPr>
        <w:t>资金投入使用情况</w:t>
      </w:r>
    </w:p>
    <w:p>
      <w:pPr>
        <w:pStyle w:val="2"/>
        <w:ind w:firstLine="560"/>
        <w:rPr>
          <w:rFonts w:hint="eastAsia" w:ascii="仿宋_GB2312" w:hAnsi="Calibri" w:eastAsia="仿宋_GB2312" w:cs="仿宋"/>
          <w:color w:val="000000"/>
          <w:kern w:val="0"/>
          <w:sz w:val="32"/>
          <w:szCs w:val="32"/>
          <w:lang w:val="en-US" w:eastAsia="zh-CN" w:bidi="ar-SA"/>
        </w:rPr>
      </w:pPr>
      <w:bookmarkStart w:id="113" w:name="_Hlk75348660"/>
      <w:r>
        <w:rPr>
          <w:rFonts w:hint="eastAsia" w:ascii="仿宋_GB2312" w:hAnsi="Calibri" w:eastAsia="仿宋_GB2312" w:cs="仿宋"/>
          <w:color w:val="000000"/>
          <w:kern w:val="0"/>
          <w:sz w:val="32"/>
          <w:szCs w:val="32"/>
          <w:lang w:val="en-US" w:eastAsia="zh-CN" w:bidi="ar-SA"/>
        </w:rPr>
        <w:t xml:space="preserve"> 根据《四川省财政厅关于2020年省级生态环境保护专项资金（第三批）支出预算的通知》（川财资环〔2020〕43号），我单位2020年收到省财政厅拨付“四川省重点行业企业用地调查采样项目”专项资金1,299.00万元，专项资金到位及时。</w:t>
      </w:r>
    </w:p>
    <w:bookmarkEnd w:id="113"/>
    <w:p>
      <w:pPr>
        <w:pStyle w:val="2"/>
        <w:ind w:firstLine="560"/>
        <w:rPr>
          <w:rFonts w:hint="eastAsia"/>
        </w:rPr>
      </w:pPr>
      <w:r>
        <w:rPr>
          <w:rFonts w:hint="eastAsia" w:ascii="仿宋_GB2312" w:hAnsi="Calibri" w:eastAsia="仿宋_GB2312" w:cs="仿宋"/>
          <w:color w:val="000000"/>
          <w:kern w:val="0"/>
          <w:sz w:val="32"/>
          <w:szCs w:val="32"/>
          <w:lang w:val="en-US" w:eastAsia="zh-CN" w:bidi="ar-SA"/>
        </w:rPr>
        <w:t>截止2020年9月，使用资金1299.00万元，其中人员费681.75万元，交通费38.25万元，差旅费34.07万元，咨询劳务费463.61万元，专用材料和燃料费28.04万元，设备使用费47.18万元，印刷费1.87万元，办公费1.08万元，邮电费0.01万元，其他费用2.78万元。</w:t>
      </w:r>
      <w:bookmarkStart w:id="114" w:name="_Hlk75348766"/>
      <w:r>
        <w:rPr>
          <w:rFonts w:hint="eastAsia" w:ascii="仿宋_GB2312" w:hAnsi="Calibri" w:eastAsia="仿宋_GB2312" w:cs="仿宋"/>
          <w:color w:val="000000"/>
          <w:kern w:val="0"/>
          <w:sz w:val="32"/>
          <w:szCs w:val="32"/>
          <w:lang w:val="en-US" w:eastAsia="zh-CN" w:bidi="ar-SA"/>
        </w:rPr>
        <w:t>专项资金执行率为100%。</w:t>
      </w:r>
      <w:bookmarkEnd w:id="114"/>
    </w:p>
    <w:p>
      <w:pPr>
        <w:numPr>
          <w:ilvl w:val="0"/>
          <w:numId w:val="0"/>
        </w:numPr>
        <w:adjustRightInd w:val="0"/>
        <w:snapToGrid w:val="0"/>
        <w:spacing w:line="580" w:lineRule="exact"/>
        <w:ind w:firstLine="562" w:firstLineChars="200"/>
        <w:rPr>
          <w:rFonts w:ascii="楷体_GB2312" w:hAnsi="宋体" w:eastAsia="楷体_GB2312"/>
          <w:b/>
          <w:sz w:val="28"/>
          <w:szCs w:val="36"/>
        </w:rPr>
      </w:pPr>
      <w:r>
        <w:rPr>
          <w:rFonts w:hint="eastAsia" w:ascii="楷体_GB2312" w:hAnsi="宋体" w:eastAsia="楷体_GB2312"/>
          <w:b/>
          <w:sz w:val="28"/>
          <w:szCs w:val="36"/>
          <w:lang w:eastAsia="zh-CN"/>
        </w:rPr>
        <w:t>（四）</w:t>
      </w:r>
      <w:r>
        <w:rPr>
          <w:rFonts w:hint="eastAsia" w:ascii="楷体_GB2312" w:hAnsi="宋体" w:eastAsia="楷体_GB2312"/>
          <w:b/>
          <w:sz w:val="28"/>
          <w:szCs w:val="36"/>
        </w:rPr>
        <w:t>项目绩效目标</w:t>
      </w:r>
    </w:p>
    <w:p>
      <w:pPr>
        <w:pStyle w:val="2"/>
        <w:ind w:firstLine="560"/>
      </w:pPr>
      <w:r>
        <w:rPr>
          <w:rFonts w:hint="eastAsia"/>
        </w:rPr>
        <w:t>项目共完成了四川省</w:t>
      </w:r>
      <w:r>
        <w:rPr>
          <w:lang w:val="zh-CN"/>
        </w:rPr>
        <w:t>9个市（州）共383个地块、2个区域土壤背景点、14个化工园样品采集及承担区域内土壤样品的粗制工作</w:t>
      </w:r>
      <w:r>
        <w:rPr>
          <w:rFonts w:hint="eastAsia"/>
          <w:lang w:val="zh-CN"/>
        </w:rPr>
        <w:t>，项目数量指标、质量指标、经济指标、社会效益等指标均达到预期目标。</w:t>
      </w:r>
    </w:p>
    <w:p>
      <w:pPr>
        <w:pStyle w:val="2"/>
        <w:snapToGrid w:val="0"/>
        <w:spacing w:line="600" w:lineRule="exact"/>
        <w:ind w:firstLine="562"/>
        <w:rPr>
          <w:rFonts w:ascii="宋体" w:hAnsi="宋体"/>
          <w:b/>
          <w:bCs/>
        </w:rPr>
      </w:pPr>
      <w:r>
        <w:rPr>
          <w:rFonts w:hint="eastAsia" w:ascii="黑体" w:hAnsi="黑体" w:eastAsia="黑体" w:cs="黑体"/>
          <w:b/>
          <w:bCs/>
        </w:rPr>
        <w:t>二、评价工作开展情况</w:t>
      </w:r>
    </w:p>
    <w:p>
      <w:pPr>
        <w:numPr>
          <w:ilvl w:val="0"/>
          <w:numId w:val="7"/>
        </w:numPr>
        <w:adjustRightInd w:val="0"/>
        <w:snapToGrid w:val="0"/>
        <w:spacing w:line="580" w:lineRule="exact"/>
        <w:ind w:firstLine="720"/>
        <w:rPr>
          <w:rFonts w:ascii="楷体_GB2312" w:hAnsi="宋体" w:eastAsia="楷体_GB2312"/>
          <w:b/>
          <w:sz w:val="28"/>
          <w:szCs w:val="36"/>
        </w:rPr>
      </w:pPr>
      <w:bookmarkStart w:id="115" w:name="_Hlk75349613"/>
      <w:r>
        <w:rPr>
          <w:rFonts w:hint="eastAsia" w:ascii="楷体_GB2312" w:hAnsi="宋体" w:eastAsia="楷体_GB2312"/>
          <w:b/>
          <w:sz w:val="28"/>
          <w:szCs w:val="36"/>
        </w:rPr>
        <w:t>组织情况</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根据财政部门的相关要求，我单位高度重视，结合绩效管理系统评分表设置的评价指标体系，运用一定的量化指标及评价标准，由项目经理组织相关人员认真组织本项目支出绩效自评，对单位所确定的绩效目标的实现程度、预算的执行结果进行综合性评价。</w:t>
      </w:r>
    </w:p>
    <w:p>
      <w:pPr>
        <w:numPr>
          <w:ilvl w:val="0"/>
          <w:numId w:val="7"/>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指标体系</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绩效评价指标主要包括通用指标、共性指标、特性指标3个一级指标。</w:t>
      </w:r>
    </w:p>
    <w:p>
      <w:pPr>
        <w:pStyle w:val="2"/>
        <w:numPr>
          <w:ilvl w:val="0"/>
          <w:numId w:val="0"/>
        </w:numPr>
        <w:ind w:firstLine="640" w:firstLineChars="0"/>
        <w:rPr>
          <w:rFonts w:hint="eastAsia" w:ascii="仿宋_GB2312" w:hAnsi="Calibri" w:eastAsia="仿宋_GB2312" w:cs="仿宋"/>
          <w:color w:val="000000"/>
          <w:kern w:val="0"/>
          <w:sz w:val="32"/>
          <w:szCs w:val="32"/>
          <w:lang w:val="en-US" w:eastAsia="zh-CN" w:bidi="ar-SA"/>
        </w:rPr>
      </w:pPr>
      <w:bookmarkStart w:id="116" w:name="_Hlk75352124"/>
      <w:r>
        <w:rPr>
          <w:rFonts w:hint="eastAsia" w:ascii="仿宋_GB2312" w:hAnsi="Calibri" w:eastAsia="仿宋_GB2312" w:cs="仿宋"/>
          <w:color w:val="000000"/>
          <w:kern w:val="0"/>
          <w:sz w:val="32"/>
          <w:szCs w:val="32"/>
          <w:lang w:val="en-US" w:eastAsia="zh-CN" w:bidi="ar-SA"/>
        </w:rPr>
        <w:t>绩效评价指标主要包括完成指标、效益指标、满意度指标3个一级指标。</w:t>
      </w:r>
    </w:p>
    <w:p>
      <w:pPr>
        <w:pStyle w:val="2"/>
        <w:numPr>
          <w:ilvl w:val="0"/>
          <w:numId w:val="0"/>
        </w:numPr>
        <w:ind w:firstLine="640" w:firstLineChars="0"/>
      </w:pPr>
      <w:r>
        <w:rPr>
          <w:rFonts w:hint="eastAsia" w:ascii="仿宋_GB2312" w:hAnsi="Calibri" w:eastAsia="仿宋_GB2312" w:cs="仿宋"/>
          <w:color w:val="000000"/>
          <w:kern w:val="0"/>
          <w:sz w:val="32"/>
          <w:szCs w:val="32"/>
          <w:lang w:val="en-US" w:eastAsia="zh-CN" w:bidi="ar-SA"/>
        </w:rPr>
        <w:t>完成指标下设：数量指标（完成重点行业企业用地调查土壤及地下水采样、制样分析、质控、数据上报等指标数量）、质量</w:t>
      </w:r>
      <w:r>
        <w:rPr>
          <w:rFonts w:hint="eastAsia"/>
        </w:rPr>
        <w:t>指标（调查数据通过国家质量审核）、时效指标（完成2</w:t>
      </w:r>
      <w:r>
        <w:t>020</w:t>
      </w:r>
      <w:r>
        <w:rPr>
          <w:rFonts w:hint="eastAsia"/>
        </w:rPr>
        <w:t>年度工作计划时间）、成本指标（项目实施未超出预算）</w:t>
      </w:r>
      <w:r>
        <w:t>4</w:t>
      </w:r>
      <w:r>
        <w:rPr>
          <w:rFonts w:hint="eastAsia"/>
        </w:rPr>
        <w:t>个二级指标（</w:t>
      </w:r>
      <w:r>
        <w:t>4</w:t>
      </w:r>
      <w:r>
        <w:rPr>
          <w:rFonts w:hint="eastAsia"/>
        </w:rPr>
        <w:t>个三级指标）。</w:t>
      </w:r>
    </w:p>
    <w:p>
      <w:pPr>
        <w:pStyle w:val="2"/>
        <w:numPr>
          <w:ilvl w:val="0"/>
          <w:numId w:val="0"/>
        </w:numPr>
        <w:ind w:firstLine="640" w:firstLineChars="0"/>
      </w:pPr>
      <w:r>
        <w:rPr>
          <w:rFonts w:hint="eastAsia"/>
        </w:rPr>
        <w:t>效益指标下设：经济效益指标（重点行业企业用地调查项目经济效益）、社会效益指标（污染地块安全利用率）生态效益指标（调查范围内土壤风险防患防控率）、可持续影响指标（掌握重点行业企业用地基本情况）</w:t>
      </w:r>
      <w:r>
        <w:t>4</w:t>
      </w:r>
      <w:r>
        <w:rPr>
          <w:rFonts w:hint="eastAsia"/>
        </w:rPr>
        <w:t>个二级指标（</w:t>
      </w:r>
      <w:r>
        <w:t>4</w:t>
      </w:r>
      <w:r>
        <w:rPr>
          <w:rFonts w:hint="eastAsia"/>
        </w:rPr>
        <w:t>个三级指标）。</w:t>
      </w:r>
    </w:p>
    <w:p>
      <w:pPr>
        <w:pStyle w:val="2"/>
        <w:numPr>
          <w:ilvl w:val="0"/>
          <w:numId w:val="0"/>
        </w:numPr>
        <w:ind w:firstLine="640" w:firstLineChars="0"/>
      </w:pPr>
      <w:r>
        <w:rPr>
          <w:rFonts w:hint="eastAsia"/>
        </w:rPr>
        <w:t>满意度指标下设：满意度指标（详查数据服务对象满意度）</w:t>
      </w:r>
      <w:r>
        <w:t>1</w:t>
      </w:r>
      <w:r>
        <w:rPr>
          <w:rFonts w:hint="eastAsia"/>
        </w:rPr>
        <w:t>个二级指标（</w:t>
      </w:r>
      <w:r>
        <w:t>1</w:t>
      </w:r>
      <w:r>
        <w:rPr>
          <w:rFonts w:hint="eastAsia"/>
        </w:rPr>
        <w:t>个三级指标）。</w:t>
      </w:r>
    </w:p>
    <w:bookmarkEnd w:id="116"/>
    <w:p>
      <w:pPr>
        <w:numPr>
          <w:ilvl w:val="0"/>
          <w:numId w:val="7"/>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评价方法</w:t>
      </w:r>
    </w:p>
    <w:p>
      <w:pPr>
        <w:pStyle w:val="2"/>
        <w:ind w:firstLine="560"/>
        <w:rPr>
          <w:rFonts w:hint="eastAsia" w:ascii="仿宋_GB2312" w:hAnsi="Calibri" w:eastAsia="仿宋_GB2312" w:cs="仿宋"/>
          <w:color w:val="000000"/>
          <w:kern w:val="0"/>
          <w:sz w:val="32"/>
          <w:szCs w:val="32"/>
          <w:lang w:val="en-US" w:eastAsia="zh-CN" w:bidi="ar-SA"/>
        </w:rPr>
      </w:pPr>
      <w:bookmarkStart w:id="117" w:name="_Hlk75352209"/>
      <w:bookmarkStart w:id="118" w:name="_Hlk75352195"/>
      <w:r>
        <w:rPr>
          <w:rFonts w:hint="eastAsia" w:ascii="仿宋_GB2312" w:hAnsi="Calibri" w:eastAsia="仿宋_GB2312" w:cs="仿宋"/>
          <w:color w:val="000000"/>
          <w:kern w:val="0"/>
          <w:sz w:val="32"/>
          <w:szCs w:val="32"/>
          <w:lang w:val="en-US" w:eastAsia="zh-CN" w:bidi="ar-SA"/>
        </w:rPr>
        <w:t>预算单位自评价方法总体采用目标比较法，采取定性与定量评价相结合的方式，通过召开座谈会听取介绍、核对财务账目、检查档案资料等方式，主要采用目标评价法、询问查证法、公众评议法等方法，现场评价与资料评价相结合，对本项目支出绩效自评价中的总体目标和各项绩效指标逐项进行评价分析。</w:t>
      </w:r>
    </w:p>
    <w:bookmarkEnd w:id="117"/>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自评价得分总分根据自评价表设定的各项指标得分汇总形成。</w:t>
      </w:r>
      <w:bookmarkEnd w:id="118"/>
    </w:p>
    <w:p>
      <w:pPr>
        <w:numPr>
          <w:ilvl w:val="0"/>
          <w:numId w:val="7"/>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评分标准</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本次绩效评价采用百分制，各级指标依据其指标权重确定分值，最终得分由各级评价指标得分加总形成。根据最终得分将评价标准分为四个等级：优（得分≥90分）；良（80分≤得分＜90分）；中（60≤得分＜80分）；差（得分＜60分）</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定性指标分析得分主要根据相关指标的完成情况，分为未达到年度指标值并且效果较差、部分达到实现年度指标值并具有一定效果、达到完成年度指标值三个档次，在此基础上，可按照该指标的对应分值区间，如0%-60%、60%（含）-80%、80%（含）-100%，合理计算确定指标分值。</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定量指标分析得分主要是通过各项指标实际完成值与年初指标值相比，如果是完成指标值的，就按该指标所赋的全部权重计算分值，同时对其完成值高于指标值较多的，还必须认真分析其原因，分析结果如发现是由于年初指标值设定明显偏低造成的，那么就要按照偏离程度进行适当调减分值；对于未完成指标值的，要按照完成值与指标值的完成比例相应计算记分。</w:t>
      </w:r>
    </w:p>
    <w:bookmarkEnd w:id="115"/>
    <w:p>
      <w:pPr>
        <w:pStyle w:val="24"/>
        <w:numPr>
          <w:ilvl w:val="0"/>
          <w:numId w:val="0"/>
        </w:numPr>
        <w:snapToGrid w:val="0"/>
        <w:spacing w:line="600" w:lineRule="exact"/>
        <w:ind w:firstLine="602" w:firstLineChars="200"/>
        <w:rPr>
          <w:rFonts w:hint="eastAsia" w:ascii="黑体" w:hAnsi="黑体" w:eastAsia="黑体" w:cs="黑体"/>
          <w:b/>
          <w:bCs/>
          <w:kern w:val="0"/>
          <w:sz w:val="30"/>
          <w:szCs w:val="24"/>
          <w:lang w:val="en-US" w:eastAsia="zh-CN" w:bidi="ar-SA"/>
        </w:rPr>
      </w:pPr>
      <w:r>
        <w:rPr>
          <w:rFonts w:hint="eastAsia" w:ascii="黑体" w:hAnsi="黑体" w:eastAsia="黑体" w:cs="黑体"/>
          <w:b/>
          <w:bCs/>
          <w:kern w:val="0"/>
          <w:sz w:val="30"/>
          <w:szCs w:val="24"/>
          <w:lang w:val="en-US" w:eastAsia="zh-CN" w:bidi="ar-SA"/>
        </w:rPr>
        <w:t>三、综合评价结论</w:t>
      </w:r>
    </w:p>
    <w:p>
      <w:pPr>
        <w:pStyle w:val="2"/>
        <w:ind w:firstLine="560"/>
        <w:rPr>
          <w:rFonts w:hint="eastAsia" w:ascii="仿宋_GB2312" w:hAnsi="Calibri" w:eastAsia="仿宋_GB2312" w:cs="仿宋"/>
          <w:color w:val="000000"/>
          <w:kern w:val="0"/>
          <w:sz w:val="32"/>
          <w:szCs w:val="32"/>
          <w:lang w:val="en-US" w:eastAsia="zh-CN" w:bidi="ar-SA"/>
        </w:rPr>
      </w:pPr>
      <w:bookmarkStart w:id="119" w:name="_Hlk75352318"/>
      <w:r>
        <w:rPr>
          <w:rFonts w:hint="eastAsia" w:ascii="仿宋_GB2312" w:hAnsi="Calibri" w:eastAsia="仿宋_GB2312" w:cs="仿宋"/>
          <w:color w:val="000000"/>
          <w:kern w:val="0"/>
          <w:sz w:val="32"/>
          <w:szCs w:val="32"/>
          <w:lang w:val="en-US" w:eastAsia="zh-CN" w:bidi="ar-SA"/>
        </w:rPr>
        <w:t>本项目综合评分为95分（见表1），评级为优。</w:t>
      </w:r>
    </w:p>
    <w:bookmarkEnd w:id="119"/>
    <w:p>
      <w:pPr>
        <w:pStyle w:val="2"/>
        <w:spacing w:line="600" w:lineRule="exact"/>
        <w:rPr>
          <w:rFonts w:hint="eastAsia" w:ascii="仿宋_GB2312" w:hAnsi="Calibri" w:eastAsia="仿宋_GB2312" w:cs="仿宋"/>
          <w:color w:val="000000"/>
          <w:kern w:val="0"/>
          <w:sz w:val="32"/>
          <w:szCs w:val="32"/>
          <w:lang w:val="en-US" w:eastAsia="zh-CN" w:bidi="ar-SA"/>
        </w:rPr>
        <w:sectPr>
          <w:footerReference r:id="rId4" w:type="default"/>
          <w:pgSz w:w="11906" w:h="16838"/>
          <w:pgMar w:top="1440" w:right="1800" w:bottom="1440" w:left="1800" w:header="851" w:footer="992" w:gutter="0"/>
          <w:pgNumType w:fmt="decimal" w:start="1"/>
          <w:cols w:space="425" w:num="1"/>
          <w:docGrid w:type="lines" w:linePitch="312" w:charSpace="0"/>
        </w:sectPr>
      </w:pPr>
    </w:p>
    <w:p>
      <w:pPr>
        <w:jc w:val="center"/>
      </w:pPr>
      <w:r>
        <w:rPr>
          <w:rFonts w:hint="eastAsia" w:ascii="黑体" w:hAnsi="宋体" w:eastAsia="黑体"/>
          <w:sz w:val="28"/>
          <w:szCs w:val="22"/>
        </w:rPr>
        <w:t>表1  评分表</w:t>
      </w:r>
    </w:p>
    <w:p>
      <w:pPr>
        <w:pStyle w:val="2"/>
        <w:spacing w:line="600" w:lineRule="exact"/>
        <w:rPr>
          <w:rFonts w:ascii="仿宋_GB2312" w:hAnsi="宋体"/>
          <w:sz w:val="32"/>
          <w:szCs w:val="32"/>
        </w:rPr>
      </w:pPr>
    </w:p>
    <w:tbl>
      <w:tblPr>
        <w:tblStyle w:val="13"/>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4253"/>
        <w:gridCol w:w="1276"/>
        <w:gridCol w:w="1559"/>
        <w:gridCol w:w="2864"/>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一级指标</w:t>
            </w:r>
          </w:p>
        </w:tc>
        <w:tc>
          <w:tcPr>
            <w:tcW w:w="2268"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二级指标</w:t>
            </w:r>
          </w:p>
        </w:tc>
        <w:tc>
          <w:tcPr>
            <w:tcW w:w="4253"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三级指标</w:t>
            </w:r>
          </w:p>
        </w:tc>
        <w:tc>
          <w:tcPr>
            <w:tcW w:w="1276"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指标分值</w:t>
            </w:r>
          </w:p>
        </w:tc>
        <w:tc>
          <w:tcPr>
            <w:tcW w:w="4423" w:type="dxa"/>
            <w:gridSpan w:val="2"/>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评分标准</w:t>
            </w:r>
          </w:p>
        </w:tc>
        <w:tc>
          <w:tcPr>
            <w:tcW w:w="940"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Merge w:val="continue"/>
            <w:vAlign w:val="center"/>
          </w:tcPr>
          <w:p>
            <w:pPr>
              <w:pStyle w:val="2"/>
              <w:spacing w:line="240" w:lineRule="auto"/>
              <w:ind w:firstLine="0" w:firstLineChars="0"/>
              <w:jc w:val="center"/>
              <w:rPr>
                <w:rFonts w:ascii="仿宋_GB2312" w:hAnsi="宋体"/>
                <w:b/>
                <w:bCs/>
                <w:sz w:val="24"/>
                <w:szCs w:val="24"/>
              </w:rPr>
            </w:pPr>
          </w:p>
        </w:tc>
        <w:tc>
          <w:tcPr>
            <w:tcW w:w="4253" w:type="dxa"/>
            <w:vMerge w:val="continue"/>
            <w:vAlign w:val="center"/>
          </w:tcPr>
          <w:p>
            <w:pPr>
              <w:pStyle w:val="2"/>
              <w:spacing w:line="240" w:lineRule="auto"/>
              <w:ind w:firstLine="0" w:firstLineChars="0"/>
              <w:jc w:val="center"/>
              <w:rPr>
                <w:rFonts w:ascii="仿宋_GB2312" w:hAnsi="宋体"/>
                <w:b/>
                <w:bCs/>
                <w:sz w:val="24"/>
                <w:szCs w:val="24"/>
              </w:rPr>
            </w:pPr>
          </w:p>
        </w:tc>
        <w:tc>
          <w:tcPr>
            <w:tcW w:w="1276" w:type="dxa"/>
            <w:vMerge w:val="continue"/>
            <w:vAlign w:val="center"/>
          </w:tcPr>
          <w:p>
            <w:pPr>
              <w:pStyle w:val="2"/>
              <w:spacing w:line="240" w:lineRule="auto"/>
              <w:ind w:firstLine="0" w:firstLineChars="0"/>
              <w:jc w:val="center"/>
              <w:rPr>
                <w:rFonts w:ascii="仿宋_GB2312" w:hAnsi="宋体"/>
                <w:b/>
                <w:bCs/>
                <w:sz w:val="24"/>
                <w:szCs w:val="24"/>
              </w:rPr>
            </w:pP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方法归类</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计算方式</w:t>
            </w:r>
          </w:p>
        </w:tc>
        <w:tc>
          <w:tcPr>
            <w:tcW w:w="940" w:type="dxa"/>
            <w:vMerge w:val="continue"/>
            <w:vAlign w:val="center"/>
          </w:tcPr>
          <w:p>
            <w:pPr>
              <w:pStyle w:val="2"/>
              <w:spacing w:line="240" w:lineRule="auto"/>
              <w:ind w:firstLine="0" w:firstLineChars="0"/>
              <w:jc w:val="center"/>
              <w:rPr>
                <w:rFonts w:ascii="仿宋_GB2312"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完成指标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数量指标</w:t>
            </w:r>
          </w:p>
        </w:tc>
        <w:tc>
          <w:tcPr>
            <w:tcW w:w="4253" w:type="dxa"/>
          </w:tcPr>
          <w:p>
            <w:pPr>
              <w:pStyle w:val="2"/>
              <w:spacing w:line="240" w:lineRule="auto"/>
              <w:ind w:firstLine="0" w:firstLineChars="0"/>
              <w:jc w:val="center"/>
              <w:rPr>
                <w:rFonts w:ascii="仿宋_GB2312" w:hAnsi="宋体"/>
                <w:b/>
                <w:bCs/>
                <w:sz w:val="24"/>
                <w:szCs w:val="24"/>
              </w:rPr>
            </w:pPr>
            <w:bookmarkStart w:id="120" w:name="_Hlk75351359"/>
            <w:r>
              <w:rPr>
                <w:rFonts w:hint="eastAsia"/>
              </w:rPr>
              <w:t>完成重点行业企业用地调查土壤及地下水采样、制样、工业园区采样等地块数量</w:t>
            </w:r>
            <w:bookmarkEnd w:id="120"/>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 w:val="24"/>
                <w:szCs w:val="24"/>
              </w:rPr>
              <w:t>比率分值法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指标得分=实际完成任务量/绩效目标设定任务量×100%*指标分值</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bookmarkStart w:id="121" w:name="_Hlk75351379"/>
            <w:r>
              <w:rPr>
                <w:rFonts w:hint="eastAsia"/>
              </w:rPr>
              <w:t>质量指标</w:t>
            </w:r>
            <w:bookmarkEnd w:id="121"/>
          </w:p>
        </w:tc>
        <w:tc>
          <w:tcPr>
            <w:tcW w:w="4253" w:type="dxa"/>
          </w:tcPr>
          <w:p>
            <w:pPr>
              <w:pStyle w:val="2"/>
              <w:spacing w:line="240" w:lineRule="auto"/>
              <w:ind w:firstLine="0" w:firstLineChars="0"/>
              <w:jc w:val="center"/>
              <w:rPr>
                <w:rFonts w:ascii="仿宋_GB2312" w:hAnsi="宋体"/>
                <w:b/>
                <w:bCs/>
                <w:sz w:val="24"/>
                <w:szCs w:val="24"/>
              </w:rPr>
            </w:pPr>
            <w:bookmarkStart w:id="122" w:name="_Hlk75351387"/>
            <w:r>
              <w:rPr>
                <w:rFonts w:hint="eastAsia"/>
              </w:rPr>
              <w:t>调查数据通过国家质量审核</w:t>
            </w:r>
            <w:bookmarkEnd w:id="122"/>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20</w:t>
            </w:r>
            <w:r>
              <w:rPr>
                <w:rFonts w:hint="eastAsia" w:ascii="仿宋_GB2312" w:hAnsi="宋体"/>
                <w:szCs w:val="24"/>
              </w:rPr>
              <w:t>-是</w:t>
            </w:r>
          </w:p>
        </w:tc>
        <w:tc>
          <w:tcPr>
            <w:tcW w:w="940"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2</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bookmarkStart w:id="123" w:name="_Hlk75351402"/>
            <w:r>
              <w:rPr>
                <w:rFonts w:hint="eastAsia"/>
              </w:rPr>
              <w:t>时效指标</w:t>
            </w:r>
            <w:bookmarkEnd w:id="123"/>
          </w:p>
        </w:tc>
        <w:tc>
          <w:tcPr>
            <w:tcW w:w="4253" w:type="dxa"/>
          </w:tcPr>
          <w:p>
            <w:pPr>
              <w:pStyle w:val="2"/>
              <w:spacing w:line="240" w:lineRule="auto"/>
              <w:ind w:firstLine="0" w:firstLineChars="0"/>
              <w:jc w:val="center"/>
              <w:rPr>
                <w:rFonts w:ascii="仿宋_GB2312" w:hAnsi="宋体"/>
                <w:b/>
                <w:bCs/>
                <w:sz w:val="24"/>
                <w:szCs w:val="24"/>
              </w:rPr>
            </w:pPr>
            <w:bookmarkStart w:id="124" w:name="_Hlk75351409"/>
            <w:r>
              <w:rPr>
                <w:rFonts w:hint="eastAsia"/>
              </w:rPr>
              <w:t>完成2</w:t>
            </w:r>
            <w:r>
              <w:t>020</w:t>
            </w:r>
            <w:r>
              <w:rPr>
                <w:rFonts w:hint="eastAsia"/>
              </w:rPr>
              <w:t>年度工作计划时间</w:t>
            </w:r>
            <w:bookmarkEnd w:id="124"/>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bookmarkStart w:id="125" w:name="_Hlk75351416"/>
            <w:r>
              <w:rPr>
                <w:rFonts w:hint="eastAsia"/>
              </w:rPr>
              <w:t>成本指标</w:t>
            </w:r>
            <w:bookmarkEnd w:id="125"/>
          </w:p>
        </w:tc>
        <w:tc>
          <w:tcPr>
            <w:tcW w:w="4253" w:type="dxa"/>
          </w:tcPr>
          <w:p>
            <w:pPr>
              <w:pStyle w:val="2"/>
              <w:spacing w:line="240" w:lineRule="auto"/>
              <w:ind w:firstLine="0" w:firstLineChars="0"/>
              <w:jc w:val="center"/>
            </w:pPr>
            <w:bookmarkStart w:id="126" w:name="_Hlk75351426"/>
            <w:r>
              <w:rPr>
                <w:rFonts w:hint="eastAsia"/>
              </w:rPr>
              <w:t>项目实施未超出预算</w:t>
            </w:r>
            <w:bookmarkEnd w:id="126"/>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效益指标</w:t>
            </w:r>
          </w:p>
        </w:tc>
        <w:tc>
          <w:tcPr>
            <w:tcW w:w="2268" w:type="dxa"/>
            <w:vAlign w:val="center"/>
          </w:tcPr>
          <w:p>
            <w:pPr>
              <w:pStyle w:val="2"/>
              <w:spacing w:line="240" w:lineRule="auto"/>
              <w:ind w:firstLine="0" w:firstLineChars="0"/>
              <w:jc w:val="center"/>
            </w:pPr>
            <w:r>
              <w:rPr>
                <w:rFonts w:hint="eastAsia"/>
              </w:rPr>
              <w:t>经济效益指标</w:t>
            </w:r>
          </w:p>
        </w:tc>
        <w:tc>
          <w:tcPr>
            <w:tcW w:w="4253" w:type="dxa"/>
          </w:tcPr>
          <w:p>
            <w:pPr>
              <w:pStyle w:val="2"/>
              <w:spacing w:line="240" w:lineRule="auto"/>
              <w:ind w:firstLine="0" w:firstLineChars="0"/>
              <w:jc w:val="center"/>
            </w:pPr>
          </w:p>
          <w:p>
            <w:pPr>
              <w:pStyle w:val="2"/>
              <w:spacing w:line="240" w:lineRule="auto"/>
              <w:ind w:firstLine="0" w:firstLineChars="0"/>
              <w:jc w:val="center"/>
            </w:pPr>
            <w:r>
              <w:rPr>
                <w:rFonts w:hint="eastAsia"/>
              </w:rPr>
              <w:t>资金使用率</w:t>
            </w:r>
          </w:p>
        </w:tc>
        <w:tc>
          <w:tcPr>
            <w:tcW w:w="1276" w:type="dxa"/>
            <w:vAlign w:val="center"/>
          </w:tcPr>
          <w:p>
            <w:pPr>
              <w:pStyle w:val="2"/>
              <w:spacing w:line="240" w:lineRule="auto"/>
              <w:ind w:firstLine="0" w:firstLineChars="0"/>
              <w:jc w:val="center"/>
            </w:pPr>
            <w: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比率分值法</w:t>
            </w:r>
          </w:p>
        </w:tc>
        <w:tc>
          <w:tcPr>
            <w:tcW w:w="2864" w:type="dxa"/>
            <w:vAlign w:val="center"/>
          </w:tcPr>
          <w:p>
            <w:pPr>
              <w:pStyle w:val="2"/>
              <w:spacing w:line="240" w:lineRule="auto"/>
              <w:ind w:firstLine="0" w:firstLineChars="0"/>
              <w:jc w:val="center"/>
            </w:pPr>
            <w:r>
              <w:rPr>
                <w:rFonts w:hint="eastAsia"/>
              </w:rPr>
              <w:t>指标得分=资金实际使用金额/资金实际拨付金额×100%*指标分值</w:t>
            </w:r>
          </w:p>
        </w:tc>
        <w:tc>
          <w:tcPr>
            <w:tcW w:w="940"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1</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社会效益指标</w:t>
            </w:r>
          </w:p>
        </w:tc>
        <w:tc>
          <w:tcPr>
            <w:tcW w:w="4253" w:type="dxa"/>
            <w:vAlign w:val="center"/>
          </w:tcPr>
          <w:p>
            <w:pPr>
              <w:pStyle w:val="2"/>
              <w:spacing w:line="240" w:lineRule="auto"/>
              <w:ind w:firstLine="0" w:firstLineChars="0"/>
              <w:jc w:val="center"/>
            </w:pPr>
            <w:r>
              <w:rPr>
                <w:rFonts w:hint="eastAsia"/>
              </w:rPr>
              <w:t>污染地块安全利用率</w:t>
            </w:r>
          </w:p>
        </w:tc>
        <w:tc>
          <w:tcPr>
            <w:tcW w:w="1276" w:type="dxa"/>
            <w:vAlign w:val="center"/>
          </w:tcPr>
          <w:p>
            <w:pPr>
              <w:pStyle w:val="2"/>
              <w:spacing w:line="240" w:lineRule="auto"/>
              <w:ind w:firstLine="0" w:firstLineChars="0"/>
              <w:jc w:val="center"/>
            </w:pPr>
            <w:r>
              <w:rPr>
                <w:rFonts w:hint="eastAsia"/>
              </w:rPr>
              <w:t>5</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2864" w:type="dxa"/>
            <w:vAlign w:val="center"/>
          </w:tcPr>
          <w:p>
            <w:pPr>
              <w:pStyle w:val="2"/>
              <w:spacing w:line="240" w:lineRule="auto"/>
              <w:ind w:firstLine="0" w:firstLineChars="0"/>
              <w:jc w:val="center"/>
            </w:pPr>
            <w:r>
              <w:t>0-2</w:t>
            </w:r>
            <w:r>
              <w:rPr>
                <w:rFonts w:hint="eastAsia"/>
              </w:rPr>
              <w:t xml:space="preserve">-低 </w:t>
            </w:r>
            <w:r>
              <w:t>3-4</w:t>
            </w:r>
            <w:r>
              <w:rPr>
                <w:rFonts w:hint="eastAsia"/>
              </w:rPr>
              <w:t xml:space="preserve">-中 </w:t>
            </w:r>
            <w:r>
              <w:t>5</w:t>
            </w:r>
            <w:r>
              <w:rPr>
                <w:rFonts w:hint="eastAsia"/>
              </w:rPr>
              <w:t>-高</w:t>
            </w:r>
          </w:p>
        </w:tc>
        <w:tc>
          <w:tcPr>
            <w:tcW w:w="940"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生态效益指标</w:t>
            </w:r>
          </w:p>
        </w:tc>
        <w:tc>
          <w:tcPr>
            <w:tcW w:w="4253" w:type="dxa"/>
            <w:vAlign w:val="center"/>
          </w:tcPr>
          <w:p>
            <w:pPr>
              <w:pStyle w:val="2"/>
              <w:spacing w:line="240" w:lineRule="auto"/>
              <w:ind w:firstLine="0" w:firstLineChars="0"/>
              <w:jc w:val="center"/>
            </w:pPr>
            <w:r>
              <w:rPr>
                <w:rFonts w:hint="eastAsia"/>
              </w:rPr>
              <w:t>调查范围内土壤风险防患防控率</w:t>
            </w:r>
          </w:p>
        </w:tc>
        <w:tc>
          <w:tcPr>
            <w:tcW w:w="1276" w:type="dxa"/>
            <w:vAlign w:val="center"/>
          </w:tcPr>
          <w:p>
            <w:pPr>
              <w:pStyle w:val="2"/>
              <w:spacing w:line="240" w:lineRule="auto"/>
              <w:ind w:firstLine="0" w:firstLineChars="0"/>
              <w:jc w:val="center"/>
            </w:pPr>
            <w:r>
              <w:rPr>
                <w:rFonts w:hint="eastAsia"/>
              </w:rPr>
              <w:t>5</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2864" w:type="dxa"/>
            <w:vAlign w:val="center"/>
          </w:tcPr>
          <w:p>
            <w:pPr>
              <w:pStyle w:val="2"/>
              <w:spacing w:line="240" w:lineRule="auto"/>
              <w:ind w:firstLine="0" w:firstLineChars="0"/>
              <w:jc w:val="center"/>
            </w:pPr>
            <w:r>
              <w:t>0-2</w:t>
            </w:r>
            <w:r>
              <w:rPr>
                <w:rFonts w:hint="eastAsia"/>
              </w:rPr>
              <w:t xml:space="preserve">-低 </w:t>
            </w:r>
            <w:r>
              <w:t>3-4</w:t>
            </w:r>
            <w:r>
              <w:rPr>
                <w:rFonts w:hint="eastAsia"/>
              </w:rPr>
              <w:t xml:space="preserve">-中 </w:t>
            </w:r>
            <w:r>
              <w:t>5</w:t>
            </w:r>
            <w:r>
              <w:rPr>
                <w:rFonts w:hint="eastAsia"/>
              </w:rPr>
              <w:t>-高</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可持续影响指标</w:t>
            </w:r>
          </w:p>
        </w:tc>
        <w:tc>
          <w:tcPr>
            <w:tcW w:w="4253" w:type="dxa"/>
            <w:vAlign w:val="center"/>
          </w:tcPr>
          <w:p>
            <w:pPr>
              <w:pStyle w:val="2"/>
              <w:spacing w:line="240" w:lineRule="auto"/>
              <w:ind w:firstLine="0" w:firstLineChars="0"/>
              <w:jc w:val="center"/>
            </w:pPr>
            <w:r>
              <w:rPr>
                <w:rFonts w:hint="eastAsia"/>
              </w:rPr>
              <w:t>掌握重点行业企业用地基本情况</w:t>
            </w:r>
          </w:p>
        </w:tc>
        <w:tc>
          <w:tcPr>
            <w:tcW w:w="1276" w:type="dxa"/>
            <w:vAlign w:val="center"/>
          </w:tcPr>
          <w:p>
            <w:pPr>
              <w:pStyle w:val="2"/>
              <w:spacing w:line="240" w:lineRule="auto"/>
              <w:ind w:firstLine="0" w:firstLineChars="0"/>
              <w:jc w:val="center"/>
            </w:pPr>
            <w: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pPr>
            <w:r>
              <w:rPr>
                <w:rFonts w:hint="eastAsia"/>
              </w:rPr>
              <w:t>0-否 1-是</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96"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4253" w:type="dxa"/>
            <w:vAlign w:val="center"/>
          </w:tcPr>
          <w:p>
            <w:pPr>
              <w:pStyle w:val="2"/>
              <w:spacing w:line="240" w:lineRule="auto"/>
              <w:ind w:firstLine="0" w:firstLineChars="0"/>
              <w:jc w:val="center"/>
              <w:rPr>
                <w:rFonts w:ascii="仿宋_GB2312" w:hAnsi="宋体"/>
                <w:b/>
                <w:bCs/>
                <w:sz w:val="24"/>
                <w:szCs w:val="24"/>
              </w:rPr>
            </w:pPr>
            <w:r>
              <w:rPr>
                <w:rFonts w:hint="eastAsia"/>
              </w:rPr>
              <w:t>详查数据服务对象满意度</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ascii="仿宋_GB2312" w:hAnsi="宋体"/>
                <w:szCs w:val="24"/>
              </w:rPr>
              <w:t>1-4</w:t>
            </w:r>
            <w:r>
              <w:rPr>
                <w:rFonts w:hint="eastAsia" w:ascii="仿宋_GB2312" w:hAnsi="宋体"/>
                <w:szCs w:val="24"/>
              </w:rPr>
              <w:t xml:space="preserve">-不满意 </w:t>
            </w:r>
            <w:r>
              <w:rPr>
                <w:rFonts w:ascii="仿宋_GB2312" w:hAnsi="宋体"/>
                <w:szCs w:val="24"/>
              </w:rPr>
              <w:t>5-9</w:t>
            </w:r>
            <w:r>
              <w:rPr>
                <w:rFonts w:hint="eastAsia" w:ascii="仿宋_GB2312" w:hAnsi="宋体"/>
                <w:szCs w:val="24"/>
              </w:rPr>
              <w:t xml:space="preserve">-较满意 </w:t>
            </w:r>
            <w:r>
              <w:rPr>
                <w:rFonts w:ascii="仿宋_GB2312" w:hAnsi="宋体"/>
                <w:szCs w:val="24"/>
              </w:rPr>
              <w:t>10</w:t>
            </w:r>
            <w:r>
              <w:rPr>
                <w:rFonts w:hint="eastAsia" w:ascii="仿宋_GB2312" w:hAnsi="宋体"/>
                <w:szCs w:val="24"/>
              </w:rPr>
              <w:t>-满意</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8</w:t>
            </w:r>
          </w:p>
        </w:tc>
      </w:tr>
    </w:tbl>
    <w:p>
      <w:pPr>
        <w:spacing w:line="600" w:lineRule="exact"/>
        <w:rPr>
          <w:rFonts w:ascii="仿宋_GB2312" w:hAnsi="宋体"/>
          <w:sz w:val="32"/>
        </w:rPr>
        <w:sectPr>
          <w:pgSz w:w="16838" w:h="11906" w:orient="landscape"/>
          <w:pgMar w:top="1800" w:right="1440" w:bottom="1800" w:left="1440" w:header="851" w:footer="992" w:gutter="0"/>
          <w:pgNumType w:fmt="decimal"/>
          <w:cols w:space="425" w:num="1"/>
          <w:docGrid w:type="lines" w:linePitch="312" w:charSpace="0"/>
        </w:sectPr>
      </w:pPr>
    </w:p>
    <w:p>
      <w:pPr>
        <w:pStyle w:val="24"/>
        <w:numPr>
          <w:ilvl w:val="0"/>
          <w:numId w:val="0"/>
        </w:numPr>
        <w:snapToGrid w:val="0"/>
        <w:spacing w:line="600" w:lineRule="exact"/>
        <w:ind w:firstLine="602" w:firstLineChars="200"/>
        <w:rPr>
          <w:rFonts w:hint="eastAsia" w:ascii="黑体" w:hAnsi="黑体" w:eastAsia="黑体" w:cs="黑体"/>
          <w:b/>
          <w:bCs/>
          <w:kern w:val="0"/>
          <w:sz w:val="30"/>
          <w:szCs w:val="24"/>
          <w:lang w:val="en-US" w:eastAsia="zh-CN" w:bidi="ar-SA"/>
        </w:rPr>
      </w:pPr>
      <w:r>
        <w:rPr>
          <w:rFonts w:hint="eastAsia" w:ascii="黑体" w:hAnsi="黑体" w:eastAsia="黑体" w:cs="黑体"/>
          <w:b/>
          <w:bCs/>
          <w:kern w:val="0"/>
          <w:sz w:val="30"/>
          <w:szCs w:val="24"/>
          <w:lang w:val="en-US" w:eastAsia="zh-CN" w:bidi="ar-SA"/>
        </w:rPr>
        <w:t>四、绩效评价分析</w:t>
      </w:r>
    </w:p>
    <w:p>
      <w:pPr>
        <w:snapToGrid w:val="0"/>
        <w:spacing w:line="600" w:lineRule="exact"/>
        <w:ind w:firstLine="562" w:firstLineChars="200"/>
        <w:rPr>
          <w:rFonts w:ascii="楷体_GB2312" w:hAnsi="宋体" w:eastAsia="楷体_GB2312"/>
          <w:b/>
          <w:sz w:val="28"/>
          <w:szCs w:val="22"/>
        </w:rPr>
      </w:pPr>
      <w:bookmarkStart w:id="127" w:name="_Hlk75354332"/>
      <w:r>
        <w:rPr>
          <w:rFonts w:hint="eastAsia" w:ascii="楷体_GB2312" w:hAnsi="宋体" w:eastAsia="楷体_GB2312"/>
          <w:b/>
          <w:sz w:val="28"/>
          <w:szCs w:val="22"/>
        </w:rPr>
        <w:t>（一）项目决策情况</w:t>
      </w:r>
    </w:p>
    <w:bookmarkEnd w:id="127"/>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bookmarkStart w:id="128" w:name="_Hlk75440025"/>
      <w:r>
        <w:rPr>
          <w:rFonts w:hint="eastAsia" w:ascii="仿宋_GB2312" w:hAnsi="Calibri" w:eastAsia="仿宋_GB2312" w:cs="仿宋"/>
          <w:color w:val="000000"/>
          <w:kern w:val="0"/>
          <w:sz w:val="32"/>
          <w:szCs w:val="32"/>
          <w:lang w:val="en-US" w:eastAsia="zh-CN" w:bidi="ar-SA"/>
        </w:rPr>
        <w:t>四川省重点行业企业用地调查是四川省土壤污染状况详查的重要组成部分，是土壤污染防治的基础性工作。开展重点行业企业用地调查，摸清企业用地土壤污染状况，对于建立污染地块清单和优先管控名录，推进建设用地准入管理，实施土壤污染分类别、分用途、分阶段治理，加强土壤环境污染防治和风险管控，维护公众健康，建立和完善我省土壤环境管理体系，提升土壤环境管理水平，促进土壤资源永续利用、保障人居环境安全，具有十分重要的意义。</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该项目的立项符合国家法律法规、国民经济发展规划和相关政策、符合行业发展规划和政策要求，符合“土壤污染防治行动计划”，与四川省生态环境厅职责范围相符，属于四川省生态环境厅履职所需。根据《四川省环境保护厅办公室关于印发&lt;四川省重点行业企业用地调查实施方案&gt;的通知》（川环办发〔2018〕73号），项目的设立程序符合相关规定，审批文件、材料符合相关要求，且项目的设立经过了必要的可行性研究、专家论证、风险评估、绩效评估、集体决策。同时，四川省重点行业企业用地调查属于中央财政资金支持范围，符合中央支出责任划分原则。</w:t>
      </w:r>
      <w:bookmarkEnd w:id="128"/>
    </w:p>
    <w:p>
      <w:pPr>
        <w:numPr>
          <w:ilvl w:val="0"/>
          <w:numId w:val="8"/>
        </w:num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项目管理情况</w:t>
      </w:r>
    </w:p>
    <w:p>
      <w:pPr>
        <w:adjustRightInd w:val="0"/>
        <w:snapToGrid w:val="0"/>
        <w:spacing w:line="580" w:lineRule="exact"/>
        <w:ind w:firstLine="72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为加强项目管理，保证项目工作顺利开展，保质保量按期完成项目工作，</w:t>
      </w:r>
      <w:r>
        <w:rPr>
          <w:rFonts w:hint="eastAsia" w:ascii="仿宋_GB2312" w:hAnsi="Calibri" w:eastAsia="仿宋_GB2312" w:cs="仿宋"/>
          <w:color w:val="000000"/>
          <w:kern w:val="0"/>
          <w:sz w:val="32"/>
          <w:szCs w:val="32"/>
          <w:lang w:val="en-US" w:eastAsia="zh-CN" w:bidi="ar-SA"/>
        </w:rPr>
        <w:t>我单位成立</w:t>
      </w:r>
      <w:r>
        <w:rPr>
          <w:rFonts w:hint="eastAsia" w:ascii="仿宋_GB2312" w:hAnsi="Calibri" w:eastAsia="仿宋_GB2312" w:cs="仿宋"/>
          <w:color w:val="000000"/>
          <w:kern w:val="0"/>
          <w:sz w:val="32"/>
          <w:szCs w:val="32"/>
          <w:lang w:val="zh-CN" w:eastAsia="zh-CN" w:bidi="ar-SA"/>
        </w:rPr>
        <w:t>了</w:t>
      </w:r>
      <w:r>
        <w:rPr>
          <w:rFonts w:hint="eastAsia" w:ascii="仿宋_GB2312" w:hAnsi="Calibri" w:eastAsia="仿宋_GB2312" w:cs="仿宋"/>
          <w:color w:val="000000"/>
          <w:kern w:val="0"/>
          <w:sz w:val="32"/>
          <w:szCs w:val="32"/>
          <w:lang w:val="en-US" w:eastAsia="zh-CN" w:bidi="ar-SA"/>
        </w:rPr>
        <w:t>项目经理部，</w:t>
      </w:r>
      <w:r>
        <w:rPr>
          <w:rFonts w:hint="eastAsia" w:ascii="仿宋_GB2312" w:hAnsi="Calibri" w:eastAsia="仿宋_GB2312" w:cs="仿宋"/>
          <w:color w:val="000000"/>
          <w:kern w:val="0"/>
          <w:sz w:val="32"/>
          <w:szCs w:val="32"/>
          <w:lang w:val="zh-CN" w:eastAsia="zh-CN" w:bidi="ar-SA"/>
        </w:rPr>
        <w:t>项目</w:t>
      </w:r>
      <w:r>
        <w:rPr>
          <w:rFonts w:hint="eastAsia" w:ascii="仿宋_GB2312" w:hAnsi="Calibri" w:eastAsia="仿宋_GB2312" w:cs="仿宋"/>
          <w:color w:val="000000"/>
          <w:kern w:val="0"/>
          <w:sz w:val="32"/>
          <w:szCs w:val="32"/>
          <w:lang w:val="en-US" w:eastAsia="zh-CN" w:bidi="ar-SA"/>
        </w:rPr>
        <w:t>经理部</w:t>
      </w:r>
      <w:r>
        <w:rPr>
          <w:rFonts w:hint="eastAsia" w:ascii="仿宋_GB2312" w:hAnsi="Calibri" w:eastAsia="仿宋_GB2312" w:cs="仿宋"/>
          <w:color w:val="000000"/>
          <w:kern w:val="0"/>
          <w:sz w:val="32"/>
          <w:szCs w:val="32"/>
          <w:lang w:val="zh-CN" w:eastAsia="zh-CN" w:bidi="ar-SA"/>
        </w:rPr>
        <w:t>下设：</w:t>
      </w:r>
      <w:r>
        <w:rPr>
          <w:rFonts w:hint="eastAsia" w:ascii="仿宋_GB2312" w:hAnsi="Calibri" w:eastAsia="仿宋_GB2312" w:cs="仿宋"/>
          <w:color w:val="000000"/>
          <w:kern w:val="0"/>
          <w:sz w:val="32"/>
          <w:szCs w:val="32"/>
          <w:lang w:val="en-US" w:eastAsia="zh-CN" w:bidi="ar-SA"/>
        </w:rPr>
        <w:t>采样</w:t>
      </w:r>
      <w:r>
        <w:rPr>
          <w:rFonts w:hint="eastAsia" w:ascii="仿宋_GB2312" w:hAnsi="Calibri" w:eastAsia="仿宋_GB2312" w:cs="仿宋"/>
          <w:color w:val="000000"/>
          <w:kern w:val="0"/>
          <w:sz w:val="32"/>
          <w:szCs w:val="32"/>
          <w:lang w:val="zh-CN" w:eastAsia="zh-CN" w:bidi="ar-SA"/>
        </w:rPr>
        <w:t>小组、质控小组、</w:t>
      </w:r>
      <w:r>
        <w:rPr>
          <w:rFonts w:hint="eastAsia" w:ascii="仿宋_GB2312" w:hAnsi="Calibri" w:eastAsia="仿宋_GB2312" w:cs="仿宋"/>
          <w:color w:val="000000"/>
          <w:kern w:val="0"/>
          <w:sz w:val="32"/>
          <w:szCs w:val="32"/>
          <w:lang w:val="en-US" w:eastAsia="zh-CN" w:bidi="ar-SA"/>
        </w:rPr>
        <w:t>制样小组</w:t>
      </w:r>
      <w:r>
        <w:rPr>
          <w:rFonts w:hint="eastAsia" w:ascii="仿宋_GB2312" w:hAnsi="Calibri" w:eastAsia="仿宋_GB2312" w:cs="仿宋"/>
          <w:color w:val="000000"/>
          <w:kern w:val="0"/>
          <w:sz w:val="32"/>
          <w:szCs w:val="32"/>
          <w:lang w:val="zh-CN" w:eastAsia="zh-CN" w:bidi="ar-SA"/>
        </w:rPr>
        <w:t>。</w:t>
      </w:r>
    </w:p>
    <w:p>
      <w:pPr>
        <w:adjustRightInd w:val="0"/>
        <w:snapToGrid w:val="0"/>
        <w:spacing w:line="580" w:lineRule="exact"/>
        <w:ind w:firstLine="72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采样</w:t>
      </w:r>
      <w:r>
        <w:rPr>
          <w:rFonts w:hint="eastAsia" w:ascii="仿宋_GB2312" w:hAnsi="Calibri" w:eastAsia="仿宋_GB2312" w:cs="仿宋"/>
          <w:color w:val="000000"/>
          <w:kern w:val="0"/>
          <w:sz w:val="32"/>
          <w:szCs w:val="32"/>
          <w:lang w:val="zh-CN" w:eastAsia="zh-CN" w:bidi="ar-SA"/>
        </w:rPr>
        <w:t>小组负责</w:t>
      </w:r>
      <w:r>
        <w:rPr>
          <w:rFonts w:hint="eastAsia" w:ascii="仿宋_GB2312" w:hAnsi="Calibri" w:eastAsia="仿宋_GB2312" w:cs="仿宋"/>
          <w:color w:val="000000"/>
          <w:kern w:val="0"/>
          <w:sz w:val="32"/>
          <w:szCs w:val="32"/>
          <w:lang w:val="en-US" w:eastAsia="zh-CN" w:bidi="ar-SA"/>
        </w:rPr>
        <w:t>采样</w:t>
      </w:r>
      <w:r>
        <w:rPr>
          <w:rFonts w:hint="eastAsia" w:ascii="仿宋_GB2312" w:hAnsi="Calibri" w:eastAsia="仿宋_GB2312" w:cs="仿宋"/>
          <w:color w:val="000000"/>
          <w:kern w:val="0"/>
          <w:sz w:val="32"/>
          <w:szCs w:val="32"/>
          <w:lang w:val="zh-CN" w:eastAsia="zh-CN" w:bidi="ar-SA"/>
        </w:rPr>
        <w:t>项目</w:t>
      </w:r>
      <w:r>
        <w:rPr>
          <w:rFonts w:hint="eastAsia" w:ascii="仿宋_GB2312" w:hAnsi="Calibri" w:eastAsia="仿宋_GB2312" w:cs="仿宋"/>
          <w:color w:val="000000"/>
          <w:kern w:val="0"/>
          <w:sz w:val="32"/>
          <w:szCs w:val="32"/>
          <w:lang w:val="en-US" w:eastAsia="zh-CN" w:bidi="ar-SA"/>
        </w:rPr>
        <w:t>的</w:t>
      </w:r>
      <w:r>
        <w:rPr>
          <w:rFonts w:hint="eastAsia" w:ascii="仿宋_GB2312" w:hAnsi="Calibri" w:eastAsia="仿宋_GB2312" w:cs="仿宋"/>
          <w:color w:val="000000"/>
          <w:kern w:val="0"/>
          <w:sz w:val="32"/>
          <w:szCs w:val="32"/>
          <w:lang w:val="zh-CN" w:eastAsia="zh-CN" w:bidi="ar-SA"/>
        </w:rPr>
        <w:t>具体实施；</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zh-CN" w:eastAsia="zh-CN" w:bidi="ar-SA"/>
        </w:rPr>
        <w:t>质控小组负责项目</w:t>
      </w:r>
      <w:r>
        <w:rPr>
          <w:rFonts w:hint="eastAsia" w:ascii="仿宋_GB2312" w:hAnsi="Calibri" w:eastAsia="仿宋_GB2312" w:cs="仿宋"/>
          <w:color w:val="000000"/>
          <w:kern w:val="0"/>
          <w:sz w:val="32"/>
          <w:szCs w:val="32"/>
          <w:lang w:val="en-US" w:eastAsia="zh-CN" w:bidi="ar-SA"/>
        </w:rPr>
        <w:t>的</w:t>
      </w:r>
      <w:r>
        <w:rPr>
          <w:rFonts w:hint="eastAsia" w:ascii="仿宋_GB2312" w:hAnsi="Calibri" w:eastAsia="仿宋_GB2312" w:cs="仿宋"/>
          <w:color w:val="000000"/>
          <w:kern w:val="0"/>
          <w:sz w:val="32"/>
          <w:szCs w:val="32"/>
          <w:lang w:val="zh-CN" w:eastAsia="zh-CN" w:bidi="ar-SA"/>
        </w:rPr>
        <w:t>质量管理、质量监控</w:t>
      </w:r>
      <w:r>
        <w:rPr>
          <w:rFonts w:hint="eastAsia" w:ascii="仿宋_GB2312" w:hAnsi="Calibri" w:eastAsia="仿宋_GB2312" w:cs="仿宋"/>
          <w:color w:val="000000"/>
          <w:kern w:val="0"/>
          <w:sz w:val="32"/>
          <w:szCs w:val="32"/>
          <w:lang w:val="en-US" w:eastAsia="zh-CN" w:bidi="ar-SA"/>
        </w:rPr>
        <w:t>;</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制样小组</w:t>
      </w:r>
      <w:r>
        <w:rPr>
          <w:rFonts w:hint="eastAsia" w:ascii="仿宋_GB2312" w:hAnsi="Calibri" w:eastAsia="仿宋_GB2312" w:cs="仿宋"/>
          <w:color w:val="000000"/>
          <w:kern w:val="0"/>
          <w:sz w:val="32"/>
          <w:szCs w:val="32"/>
          <w:lang w:val="zh-CN" w:eastAsia="zh-CN" w:bidi="ar-SA"/>
        </w:rPr>
        <w:t>负责项目</w:t>
      </w:r>
      <w:r>
        <w:rPr>
          <w:rFonts w:hint="eastAsia" w:ascii="仿宋_GB2312" w:hAnsi="Calibri" w:eastAsia="仿宋_GB2312" w:cs="仿宋"/>
          <w:color w:val="000000"/>
          <w:kern w:val="0"/>
          <w:sz w:val="32"/>
          <w:szCs w:val="32"/>
          <w:lang w:val="en-US" w:eastAsia="zh-CN" w:bidi="ar-SA"/>
        </w:rPr>
        <w:t>样品的粗制样。</w:t>
      </w:r>
    </w:p>
    <w:p>
      <w:pPr>
        <w:adjustRightInd w:val="0"/>
        <w:snapToGrid w:val="0"/>
        <w:spacing w:line="580" w:lineRule="exact"/>
        <w:ind w:firstLine="72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同时，我单位</w:t>
      </w:r>
      <w:r>
        <w:rPr>
          <w:rFonts w:hint="eastAsia" w:ascii="仿宋_GB2312" w:hAnsi="Calibri" w:eastAsia="仿宋_GB2312" w:cs="仿宋"/>
          <w:color w:val="000000"/>
          <w:kern w:val="0"/>
          <w:sz w:val="32"/>
          <w:szCs w:val="32"/>
          <w:lang w:val="zh-CN" w:eastAsia="zh-CN" w:bidi="ar-SA"/>
        </w:rPr>
        <w:t>构建了“采样小组自查—采样单位质控检查”</w:t>
      </w:r>
      <w:r>
        <w:rPr>
          <w:rFonts w:hint="eastAsia" w:ascii="仿宋_GB2312" w:hAnsi="Calibri" w:eastAsia="仿宋_GB2312" w:cs="仿宋"/>
          <w:color w:val="000000"/>
          <w:kern w:val="0"/>
          <w:sz w:val="32"/>
          <w:szCs w:val="32"/>
          <w:lang w:val="en-US" w:eastAsia="zh-CN" w:bidi="ar-SA"/>
        </w:rPr>
        <w:t>的二</w:t>
      </w:r>
      <w:r>
        <w:rPr>
          <w:rFonts w:hint="eastAsia" w:ascii="仿宋_GB2312" w:hAnsi="Calibri" w:eastAsia="仿宋_GB2312" w:cs="仿宋"/>
          <w:color w:val="000000"/>
          <w:kern w:val="0"/>
          <w:sz w:val="32"/>
          <w:szCs w:val="32"/>
          <w:lang w:val="zh-CN" w:eastAsia="zh-CN" w:bidi="ar-SA"/>
        </w:rPr>
        <w:t>级质量管理体系，搭建了“采样小组—质控小组—省质控</w:t>
      </w:r>
      <w:r>
        <w:rPr>
          <w:rFonts w:hint="eastAsia" w:ascii="仿宋_GB2312" w:hAnsi="Calibri" w:eastAsia="仿宋_GB2312" w:cs="仿宋"/>
          <w:color w:val="000000"/>
          <w:kern w:val="0"/>
          <w:sz w:val="32"/>
          <w:szCs w:val="32"/>
          <w:lang w:val="en-US" w:eastAsia="zh-CN" w:bidi="ar-SA"/>
        </w:rPr>
        <w:t>单位</w:t>
      </w:r>
      <w:r>
        <w:rPr>
          <w:rFonts w:hint="eastAsia" w:ascii="仿宋_GB2312" w:hAnsi="Calibri" w:eastAsia="仿宋_GB2312" w:cs="仿宋"/>
          <w:color w:val="000000"/>
          <w:kern w:val="0"/>
          <w:sz w:val="32"/>
          <w:szCs w:val="32"/>
          <w:lang w:val="zh-CN" w:eastAsia="zh-CN" w:bidi="ar-SA"/>
        </w:rPr>
        <w:t>”的沟通桥梁。</w:t>
      </w:r>
    </w:p>
    <w:p>
      <w:pPr>
        <w:adjustRightInd w:val="0"/>
        <w:snapToGrid w:val="0"/>
        <w:spacing w:line="580" w:lineRule="exact"/>
        <w:ind w:firstLine="72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质控小组发现问题及时向技术负责人汇报，同时与采样小组沟通，反馈现场和资料检查中存在的问题，以减少问题的发生，保障采样工作质量，促进工作进度。</w:t>
      </w:r>
    </w:p>
    <w:p>
      <w:pPr>
        <w:adjustRightInd w:val="0"/>
        <w:snapToGrid w:val="0"/>
        <w:spacing w:line="580" w:lineRule="exact"/>
        <w:ind w:firstLine="72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采样小组组长每日及时向</w:t>
      </w:r>
      <w:r>
        <w:rPr>
          <w:rFonts w:hint="eastAsia" w:ascii="仿宋_GB2312" w:hAnsi="Calibri" w:eastAsia="仿宋_GB2312" w:cs="仿宋"/>
          <w:color w:val="000000"/>
          <w:kern w:val="0"/>
          <w:sz w:val="32"/>
          <w:szCs w:val="32"/>
          <w:lang w:val="zh-CN" w:eastAsia="zh-CN" w:bidi="ar-SA"/>
        </w:rPr>
        <w:t>项目</w:t>
      </w:r>
      <w:r>
        <w:rPr>
          <w:rFonts w:hint="eastAsia" w:ascii="仿宋_GB2312" w:hAnsi="Calibri" w:eastAsia="仿宋_GB2312" w:cs="仿宋"/>
          <w:color w:val="000000"/>
          <w:kern w:val="0"/>
          <w:sz w:val="32"/>
          <w:szCs w:val="32"/>
          <w:lang w:val="en-US" w:eastAsia="zh-CN" w:bidi="ar-SA"/>
        </w:rPr>
        <w:t>经理部反馈小组当日工作进度、工作中遇到的问题，</w:t>
      </w:r>
      <w:r>
        <w:rPr>
          <w:rFonts w:hint="eastAsia" w:ascii="仿宋_GB2312" w:hAnsi="Calibri" w:eastAsia="仿宋_GB2312" w:cs="仿宋"/>
          <w:color w:val="000000"/>
          <w:kern w:val="0"/>
          <w:sz w:val="32"/>
          <w:szCs w:val="32"/>
          <w:lang w:val="zh-CN" w:eastAsia="zh-CN" w:bidi="ar-SA"/>
        </w:rPr>
        <w:t>以便于项目</w:t>
      </w:r>
      <w:r>
        <w:rPr>
          <w:rFonts w:hint="eastAsia" w:ascii="仿宋_GB2312" w:hAnsi="Calibri" w:eastAsia="仿宋_GB2312" w:cs="仿宋"/>
          <w:color w:val="000000"/>
          <w:kern w:val="0"/>
          <w:sz w:val="32"/>
          <w:szCs w:val="32"/>
          <w:lang w:val="en-US" w:eastAsia="zh-CN" w:bidi="ar-SA"/>
        </w:rPr>
        <w:t>经理部的</w:t>
      </w:r>
      <w:r>
        <w:rPr>
          <w:rFonts w:hint="eastAsia" w:ascii="仿宋_GB2312" w:hAnsi="Calibri" w:eastAsia="仿宋_GB2312" w:cs="仿宋"/>
          <w:color w:val="000000"/>
          <w:kern w:val="0"/>
          <w:sz w:val="32"/>
          <w:szCs w:val="32"/>
          <w:lang w:val="zh-CN" w:eastAsia="zh-CN" w:bidi="ar-SA"/>
        </w:rPr>
        <w:t>统一组织、协调、管理。</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项目资金管理方面，建立“四川省重点行业企业用地调查采样项目”专项资金管理制度，严格做到资金的专款专用。所有项目经费支出凭正式发票或符合规定的其他付款凭据，经项目经办人签字、项目负责人签字、主管领导会签、单位领导审批签字后报销支出，财务部根据审批情况进行款项支付和会计核算。确保了本项目的专款专用，无超预算、无预算支出、无超范围、超标准支出。项目过程中不断增强和落实绩效管理责任，完善工作机制，有效提高了专项资金管理水平和使用效益。</w:t>
      </w:r>
    </w:p>
    <w:p>
      <w:pPr>
        <w:numPr>
          <w:ilvl w:val="0"/>
          <w:numId w:val="8"/>
        </w:num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项目产出情况</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项目共完成383个地块、2个区域土壤背景点、14个化工园样品采集工作及承担区域内土壤样品的粗制工作。</w:t>
      </w:r>
    </w:p>
    <w:p>
      <w:pPr>
        <w:snapToGrid w:val="0"/>
        <w:spacing w:line="600" w:lineRule="exact"/>
        <w:ind w:firstLine="640" w:firstLineChars="200"/>
        <w:rPr>
          <w:rFonts w:hint="eastAsia"/>
          <w:lang w:val="en-US" w:eastAsia="zh-CN"/>
        </w:rPr>
      </w:pPr>
      <w:r>
        <w:rPr>
          <w:rFonts w:hint="eastAsia" w:ascii="仿宋_GB2312" w:hAnsi="Calibri" w:eastAsia="仿宋_GB2312" w:cs="仿宋"/>
          <w:color w:val="000000"/>
          <w:kern w:val="0"/>
          <w:sz w:val="32"/>
          <w:szCs w:val="32"/>
          <w:lang w:val="en-US" w:eastAsia="zh-CN" w:bidi="ar-SA"/>
        </w:rPr>
        <w:t>我单位承担的重点行业企业用地调查采样工作，严格按照《采样技术规定》、《质控技术规定》等规范执行，钻进工作方法正确、采样位置合理、采样规范、样品真实有效；质量管理体系完善且运行良好，质量监督检查组认真负责，保障了工作质量。通过近五个月的时间，圆满地完成了四川省重点行业企业用地调查采样任务。</w:t>
      </w:r>
    </w:p>
    <w:p>
      <w:pPr>
        <w:numPr>
          <w:ilvl w:val="0"/>
          <w:numId w:val="8"/>
        </w:num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项目效益情况</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zh-CN" w:eastAsia="zh-CN" w:bidi="ar-SA"/>
        </w:rPr>
        <w:t>（</w:t>
      </w:r>
      <w:r>
        <w:rPr>
          <w:rFonts w:hint="eastAsia" w:ascii="仿宋_GB2312" w:hAnsi="Calibri" w:eastAsia="仿宋_GB2312" w:cs="仿宋"/>
          <w:color w:val="000000"/>
          <w:kern w:val="0"/>
          <w:sz w:val="32"/>
          <w:szCs w:val="32"/>
          <w:lang w:val="en-US" w:eastAsia="zh-CN" w:bidi="ar-SA"/>
        </w:rPr>
        <w:t>1</w:t>
      </w:r>
      <w:r>
        <w:rPr>
          <w:rFonts w:hint="eastAsia" w:ascii="仿宋_GB2312" w:hAnsi="Calibri" w:eastAsia="仿宋_GB2312" w:cs="仿宋"/>
          <w:color w:val="000000"/>
          <w:kern w:val="0"/>
          <w:sz w:val="32"/>
          <w:szCs w:val="32"/>
          <w:lang w:val="zh-CN" w:eastAsia="zh-CN" w:bidi="ar-SA"/>
        </w:rPr>
        <w:t>）数量指标：项目共完成383个地块、2个区域土壤背景点、14个化工园样品采集工作及承担区域内土壤样品的粗制工作，</w:t>
      </w:r>
      <w:r>
        <w:rPr>
          <w:rFonts w:hint="eastAsia" w:ascii="仿宋_GB2312" w:hAnsi="Calibri" w:eastAsia="仿宋_GB2312" w:cs="仿宋"/>
          <w:color w:val="000000"/>
          <w:kern w:val="0"/>
          <w:sz w:val="32"/>
          <w:szCs w:val="32"/>
          <w:lang w:val="en-US" w:eastAsia="zh-CN" w:bidi="ar-SA"/>
        </w:rPr>
        <w:t>共计1999个土壤采样点、1021个地下水采样点，共完成样品采集12700份（分别是：土壤样品9712组，地下水样品2988组；实际采样组数根据地层情况、是否有污染痕迹等情况调整，空白样单独统计组数，因此采样点位与任务组数有一定差别）。</w:t>
      </w:r>
    </w:p>
    <w:p>
      <w:pPr>
        <w:adjustRightInd w:val="0"/>
        <w:snapToGrid w:val="0"/>
        <w:spacing w:line="580" w:lineRule="exact"/>
        <w:ind w:firstLine="72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（1）质量</w:t>
      </w:r>
      <w:r>
        <w:rPr>
          <w:rFonts w:hint="eastAsia" w:ascii="仿宋_GB2312" w:hAnsi="Calibri" w:eastAsia="仿宋_GB2312" w:cs="仿宋"/>
          <w:color w:val="000000"/>
          <w:kern w:val="0"/>
          <w:sz w:val="32"/>
          <w:szCs w:val="32"/>
          <w:lang w:val="zh-CN" w:eastAsia="zh-CN" w:bidi="ar-SA"/>
        </w:rPr>
        <w:t>指标：项目</w:t>
      </w:r>
      <w:r>
        <w:rPr>
          <w:rFonts w:hint="eastAsia" w:ascii="仿宋_GB2312" w:hAnsi="Calibri" w:eastAsia="仿宋_GB2312" w:cs="仿宋"/>
          <w:color w:val="000000"/>
          <w:kern w:val="0"/>
          <w:sz w:val="32"/>
          <w:szCs w:val="32"/>
          <w:lang w:val="en-US" w:eastAsia="zh-CN" w:bidi="ar-SA"/>
        </w:rPr>
        <w:t>严格按照</w:t>
      </w:r>
      <w:r>
        <w:rPr>
          <w:rFonts w:hint="eastAsia" w:ascii="仿宋_GB2312" w:hAnsi="Calibri" w:eastAsia="仿宋_GB2312" w:cs="仿宋"/>
          <w:color w:val="000000"/>
          <w:kern w:val="0"/>
          <w:sz w:val="32"/>
          <w:szCs w:val="32"/>
          <w:lang w:val="zh-CN" w:eastAsia="zh-CN" w:bidi="ar-SA"/>
        </w:rPr>
        <w:t>国家技术要求完成采样工作，通过</w:t>
      </w:r>
      <w:r>
        <w:rPr>
          <w:rFonts w:hint="eastAsia" w:ascii="仿宋_GB2312" w:hAnsi="Calibri" w:eastAsia="仿宋_GB2312" w:cs="仿宋"/>
          <w:color w:val="000000"/>
          <w:kern w:val="0"/>
          <w:sz w:val="32"/>
          <w:szCs w:val="32"/>
          <w:lang w:val="en-US" w:eastAsia="zh-CN" w:bidi="ar-SA"/>
        </w:rPr>
        <w:t>了省级质控（四川省生态环境监测站）、国家质控（国家详查办）组织的各次质量检查。</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（2）时效</w:t>
      </w:r>
      <w:r>
        <w:rPr>
          <w:rFonts w:hint="eastAsia" w:ascii="仿宋_GB2312" w:hAnsi="Calibri" w:eastAsia="仿宋_GB2312" w:cs="仿宋"/>
          <w:color w:val="000000"/>
          <w:kern w:val="0"/>
          <w:sz w:val="32"/>
          <w:szCs w:val="32"/>
          <w:lang w:val="zh-CN" w:eastAsia="zh-CN" w:bidi="ar-SA"/>
        </w:rPr>
        <w:t>指标：</w:t>
      </w:r>
      <w:r>
        <w:rPr>
          <w:rFonts w:hint="eastAsia" w:ascii="仿宋_GB2312" w:hAnsi="Calibri" w:eastAsia="仿宋_GB2312" w:cs="仿宋"/>
          <w:color w:val="000000"/>
          <w:kern w:val="0"/>
          <w:sz w:val="32"/>
          <w:szCs w:val="32"/>
          <w:lang w:val="en-US" w:eastAsia="zh-CN" w:bidi="ar-SA"/>
        </w:rPr>
        <w:t>已于2020年8月23日全面完成野外采样及样品粗制工作。省厅最初下达完成时间为2020年8月1日前，后因实际工作进展延迟到8月31日前完成重点行业用地调查项目。</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（3）成本指标：截止2020年9月，使用资金1299万元，专项资金执行率为100%。</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（4）经济效益指标：推进建设用地准入管理，指导实施土壤污染分类别、分用途、分阶段治理，有利于相关部门加强土壤环境污染防治和风险管控。</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（5）社会效益指标：已根据调查成果建立了全省重点行业企业用地疑似污染地块清单、污染地块清单和优先管控名录。</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（6）生态效益指标：根据调查成果，有利于加强污染地块管控，防止企业用地环境恶化。</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（7）可持续影响指标：重点行业企业用地调查工作已有序开展完成。</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（8）满意度指标：通过已通过省级抽查，合格率100%，四川省生态环境厅满意度较高。</w:t>
      </w:r>
    </w:p>
    <w:p>
      <w:pPr>
        <w:pStyle w:val="24"/>
        <w:numPr>
          <w:ilvl w:val="0"/>
          <w:numId w:val="0"/>
        </w:numPr>
        <w:snapToGrid w:val="0"/>
        <w:spacing w:line="600" w:lineRule="exact"/>
        <w:ind w:firstLine="602" w:firstLineChars="200"/>
        <w:rPr>
          <w:rFonts w:hint="eastAsia" w:ascii="黑体" w:hAnsi="黑体" w:eastAsia="黑体" w:cs="黑体"/>
          <w:b/>
          <w:bCs/>
          <w:kern w:val="0"/>
          <w:sz w:val="30"/>
          <w:szCs w:val="24"/>
          <w:lang w:val="en-US" w:eastAsia="zh-CN" w:bidi="ar-SA"/>
        </w:rPr>
      </w:pPr>
      <w:r>
        <w:rPr>
          <w:rFonts w:hint="eastAsia" w:ascii="黑体" w:hAnsi="黑体" w:eastAsia="黑体" w:cs="黑体"/>
          <w:b/>
          <w:bCs/>
          <w:kern w:val="0"/>
          <w:sz w:val="30"/>
          <w:szCs w:val="24"/>
          <w:lang w:val="en-US" w:eastAsia="zh-CN" w:bidi="ar-SA"/>
        </w:rPr>
        <w:t>五、存在主要问题</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（1）因新冠疫情影响，原采样启动计划被迫延迟，但生态环境部仍要求按原计划完成采样，因此为确保采样工作的按期、保质完成，在组织采样过程中增加了采样人员的投入，存在人员费用增加的风险。</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采样点位布设工作由各市州环保局自行通过公开招标的方式委托相关单位开展。部分点位的布设，未考虑到采样施工时是否具备一定的采样条件，以及部分点位存在因地块资料缺失对地层判断的误差，导致点位的调整、采样组数的增加，间接导致一定的采样成本增加。</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（3）部分地市州，如成都市、绵阳市等，存在砂卵石层，清水回转钻进方式钻进速度较慢，导致地下水建井工作的进度较慢，一定程度上增加了采样工作成本。</w:t>
      </w:r>
    </w:p>
    <w:p>
      <w:pPr>
        <w:numPr>
          <w:ilvl w:val="0"/>
          <w:numId w:val="0"/>
        </w:numPr>
        <w:snapToGrid w:val="0"/>
        <w:spacing w:line="600" w:lineRule="exact"/>
        <w:ind w:firstLine="602" w:firstLineChars="200"/>
        <w:rPr>
          <w:rFonts w:hint="eastAsia" w:ascii="黑体" w:hAnsi="黑体" w:eastAsia="黑体" w:cs="黑体"/>
          <w:b/>
          <w:bCs/>
          <w:kern w:val="0"/>
          <w:sz w:val="30"/>
          <w:szCs w:val="24"/>
          <w:lang w:val="en-US" w:eastAsia="zh-CN" w:bidi="ar-SA"/>
        </w:rPr>
      </w:pPr>
      <w:r>
        <w:rPr>
          <w:rFonts w:hint="eastAsia" w:ascii="黑体" w:hAnsi="黑体" w:eastAsia="黑体" w:cs="黑体"/>
          <w:b/>
          <w:bCs/>
          <w:kern w:val="0"/>
          <w:sz w:val="30"/>
          <w:szCs w:val="24"/>
          <w:lang w:val="en-US" w:eastAsia="zh-CN" w:bidi="ar-SA"/>
        </w:rPr>
        <w:t>六、相关措施建议</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通过制定科学、合理的采样方案，合理安排采样工序，并积极探索新的采样工艺，缩短采样工期，确保按期完成采样任务，并降低采样成本。 </w:t>
      </w:r>
    </w:p>
    <w:p>
      <w:pPr>
        <w:rPr>
          <w:rFonts w:hint="eastAsia"/>
          <w:lang w:val="en-US" w:eastAsia="zh-CN"/>
        </w:rPr>
      </w:pPr>
      <w:r>
        <w:rPr>
          <w:rFonts w:hint="eastAsia"/>
          <w:lang w:val="en-US" w:eastAsia="zh-CN"/>
        </w:rPr>
        <w:t xml:space="preserve"> </w:t>
      </w:r>
    </w:p>
    <w:p>
      <w:pPr>
        <w:pStyle w:val="2"/>
        <w:jc w:val="right"/>
        <w:rPr>
          <w:rFonts w:hint="eastAsia"/>
          <w:lang w:val="en-US" w:eastAsia="zh-CN"/>
        </w:rPr>
      </w:pPr>
    </w:p>
    <w:p>
      <w:pPr>
        <w:pStyle w:val="2"/>
        <w:jc w:val="right"/>
        <w:rPr>
          <w:rFonts w:hint="eastAsia"/>
          <w:lang w:val="en-US" w:eastAsia="zh-CN"/>
        </w:rPr>
      </w:pPr>
      <w:r>
        <w:rPr>
          <w:rFonts w:hint="eastAsia"/>
          <w:lang w:val="en-US" w:eastAsia="zh-CN"/>
        </w:rPr>
        <w:t>四川省地质矿产勘查开发局</w:t>
      </w:r>
    </w:p>
    <w:p>
      <w:pPr>
        <w:pStyle w:val="2"/>
        <w:jc w:val="right"/>
        <w:rPr>
          <w:rFonts w:hint="eastAsia" w:eastAsia="仿宋_GB2312"/>
          <w:lang w:val="en-US" w:eastAsia="zh-CN"/>
        </w:rPr>
      </w:pPr>
      <w:r>
        <w:rPr>
          <w:rFonts w:hint="eastAsia"/>
          <w:lang w:val="en-US" w:eastAsia="zh-CN"/>
        </w:rPr>
        <w:t>成都水文地质工程地质队</w:t>
      </w: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jc w:val="both"/>
        <w:outlineLvl w:val="0"/>
        <w:rPr>
          <w:rFonts w:hint="eastAsia" w:ascii="黑体" w:hAnsi="黑体" w:eastAsia="黑体"/>
          <w:color w:val="000000"/>
          <w:sz w:val="32"/>
          <w:szCs w:val="32"/>
        </w:rPr>
      </w:pPr>
    </w:p>
    <w:p>
      <w:pPr>
        <w:spacing w:line="600" w:lineRule="exact"/>
        <w:jc w:val="both"/>
        <w:outlineLvl w:val="0"/>
        <w:rPr>
          <w:rFonts w:hint="eastAsia" w:ascii="黑体" w:hAnsi="黑体" w:eastAsia="黑体"/>
          <w:color w:val="000000"/>
          <w:sz w:val="32"/>
          <w:szCs w:val="32"/>
        </w:rPr>
      </w:pPr>
      <w:r>
        <w:rPr>
          <w:rFonts w:hint="eastAsia" w:ascii="黑体" w:hAnsi="黑体" w:eastAsia="黑体"/>
          <w:color w:val="000000"/>
          <w:sz w:val="32"/>
          <w:szCs w:val="32"/>
        </w:rPr>
        <w:t>附件4</w:t>
      </w:r>
    </w:p>
    <w:p>
      <w:pPr>
        <w:spacing w:line="600" w:lineRule="exact"/>
        <w:jc w:val="center"/>
        <w:outlineLvl w:val="0"/>
        <w:rPr>
          <w:rFonts w:hint="eastAsia" w:ascii="黑体" w:hAnsi="黑体" w:eastAsia="黑体"/>
          <w:color w:val="000000"/>
          <w:sz w:val="44"/>
          <w:szCs w:val="44"/>
        </w:rPr>
      </w:pPr>
      <w:r>
        <w:rPr>
          <w:rFonts w:hint="eastAsia" w:ascii="黑体" w:hAnsi="黑体" w:eastAsia="黑体"/>
          <w:color w:val="000000"/>
          <w:sz w:val="44"/>
          <w:szCs w:val="44"/>
        </w:rPr>
        <w:t>四川省重点行业企业用地调查分析项目</w:t>
      </w:r>
    </w:p>
    <w:p>
      <w:pPr>
        <w:spacing w:line="600" w:lineRule="exact"/>
        <w:jc w:val="center"/>
        <w:outlineLvl w:val="0"/>
        <w:rPr>
          <w:rFonts w:hint="eastAsia" w:ascii="黑体" w:hAnsi="黑体" w:eastAsia="黑体"/>
          <w:color w:val="000000"/>
          <w:sz w:val="44"/>
          <w:szCs w:val="44"/>
        </w:rPr>
      </w:pPr>
      <w:r>
        <w:rPr>
          <w:rFonts w:hint="eastAsia" w:ascii="黑体" w:hAnsi="黑体" w:eastAsia="黑体"/>
          <w:color w:val="000000"/>
          <w:sz w:val="44"/>
          <w:szCs w:val="44"/>
        </w:rPr>
        <w:t>支出绩效自评报告</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rPr>
      </w:pPr>
      <w:r>
        <w:rPr>
          <w:rFonts w:hint="eastAsia" w:ascii="仿宋_GB2312" w:hAnsi="宋体" w:eastAsia="仿宋_GB2312" w:cs="Times New Roman"/>
          <w:color w:val="auto"/>
          <w:kern w:val="2"/>
          <w:sz w:val="32"/>
          <w:szCs w:val="32"/>
          <w:lang w:val="zh-CN" w:eastAsia="zh-CN" w:bidi="ar-SA"/>
        </w:rPr>
        <w:t>（项目单位自评）</w:t>
      </w:r>
    </w:p>
    <w:p>
      <w:pPr>
        <w:tabs>
          <w:tab w:val="left" w:pos="3885"/>
        </w:tabs>
        <w:snapToGrid w:val="0"/>
        <w:spacing w:line="600" w:lineRule="exact"/>
        <w:ind w:firstLine="562" w:firstLineChars="200"/>
        <w:jc w:val="left"/>
        <w:rPr>
          <w:rFonts w:ascii="黑体" w:hAnsi="宋体" w:eastAsia="黑体"/>
          <w:b/>
          <w:bCs/>
          <w:sz w:val="28"/>
          <w:szCs w:val="22"/>
        </w:rPr>
      </w:pPr>
      <w:r>
        <w:rPr>
          <w:rFonts w:hint="eastAsia" w:ascii="黑体" w:hAnsi="宋体" w:eastAsia="黑体"/>
          <w:b/>
          <w:bCs/>
          <w:sz w:val="28"/>
          <w:szCs w:val="22"/>
        </w:rPr>
        <w:t>一、基本情况</w:t>
      </w:r>
    </w:p>
    <w:p>
      <w:p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（一）项目概况</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土壤是经济社会可持续发展的物质基础，关系人民群众身体健康，关系美丽中国建设，保护好土壤环境是推进生态文明建设和维护国家生态安全的重要内容。当前，我国土壤环境保护还存在污染底数不清、监测监管和风险防控体系不健全，部分地区污染较为严重，已成为全面建成小康社会的突出短板之一。为切实加强土壤污染防治，逐步改善土壤环境质量，国务院于2016年5月印发了《土壤污染防治行动计划》（简称“土十条”）。</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开展土壤污染状况详查是贯彻落实“土十条”的重要工作，是提升土壤环境管理水平的重要抓手和基础条件。“土十条”中明确要求：在现有相关调查基础上，以农用地和重点行业企业用地为重点，开展土壤污染状况详查，2018年四川省完成了农业用地土壤污染状况详查。</w:t>
      </w:r>
    </w:p>
    <w:p>
      <w:pPr>
        <w:tabs>
          <w:tab w:val="left" w:pos="3885"/>
        </w:tabs>
        <w:snapToGrid w:val="0"/>
        <w:spacing w:line="600" w:lineRule="exact"/>
        <w:ind w:firstLine="562" w:firstLineChars="200"/>
        <w:jc w:val="left"/>
        <w:rPr>
          <w:rFonts w:hint="eastAsia" w:ascii="楷体_GB2312" w:hAnsi="宋体" w:eastAsia="楷体_GB2312"/>
          <w:b/>
          <w:bCs w:val="0"/>
          <w:sz w:val="28"/>
          <w:szCs w:val="36"/>
        </w:rPr>
      </w:pPr>
      <w:r>
        <w:rPr>
          <w:rFonts w:hint="eastAsia" w:ascii="黑体" w:hAnsi="宋体" w:eastAsia="黑体"/>
          <w:b/>
          <w:bCs/>
          <w:sz w:val="28"/>
          <w:szCs w:val="22"/>
        </w:rPr>
        <w:t>（二）</w:t>
      </w:r>
      <w:r>
        <w:rPr>
          <w:rFonts w:hint="eastAsia" w:ascii="楷体_GB2312" w:hAnsi="宋体" w:eastAsia="楷体_GB2312"/>
          <w:b/>
          <w:bCs w:val="0"/>
          <w:sz w:val="28"/>
          <w:szCs w:val="36"/>
        </w:rPr>
        <w:t>项目实施情况</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2019年四川省启动了重点行业企业用地土壤污染状况详查工作，并要求2020年年底前掌握全省重点行业企业用地中污染地块的分布及其环境风险情况。按照四川省生态环境厅的统一安排，四川省企业用地调查采样分析工作于2019年完成资金申报，我单位根据项目下达任务，参照川价函[2007]6号四川省环境监测收费标准编制了四川省重点行业企业用地调查采样分析项目预算书。本公司需完成802个地块的样品（不包含1地块无样品）分析测试任务。其中检测地块391个，比对地块404个。</w:t>
      </w:r>
    </w:p>
    <w:p>
      <w:pPr>
        <w:adjustRightInd w:val="0"/>
        <w:snapToGrid w:val="0"/>
        <w:spacing w:line="580" w:lineRule="exact"/>
        <w:ind w:firstLine="72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测试指标为《土壤环境质量建设用地土壤污染风险管控标准》（GB36600-2018）中表1建设用地土壤污染风险筛选值和管制值（基</w:t>
      </w:r>
      <w:r>
        <w:rPr>
          <w:rFonts w:hint="eastAsia" w:ascii="仿宋_GB2312" w:hAnsi="Calibri" w:eastAsia="仿宋_GB2312" w:cs="仿宋"/>
          <w:color w:val="000000"/>
          <w:kern w:val="0"/>
          <w:sz w:val="32"/>
          <w:szCs w:val="32"/>
          <w:lang w:val="zh-CN" w:eastAsia="zh-CN" w:bidi="ar-SA"/>
        </w:rPr>
        <w:t>本项目）、表2建设用地土壤污染风险筛选值和管制值（其他项目）中挥发性有机污染物及半挥发性有机污染物及其余针对各地块提出的特征污染物。</w:t>
      </w:r>
    </w:p>
    <w:p>
      <w:pPr>
        <w:adjustRightInd w:val="0"/>
        <w:snapToGrid w:val="0"/>
        <w:spacing w:line="580" w:lineRule="exact"/>
        <w:ind w:firstLine="72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本公司从2019年10月与川勘集团协作完成全省第一个试点地块，截止项目完成，分析样品数量共计17949个，其中土壤样品17676个，水质样品273个。17676个土壤样品含有机17284个（含全程序空白QCK、运输空白YCK），无机及金属样品392个。目前已经全部分析测试完毕，所有数据均上传完毕。</w:t>
      </w:r>
    </w:p>
    <w:p>
      <w:pPr>
        <w:adjustRightInd w:val="0"/>
        <w:snapToGrid w:val="0"/>
        <w:spacing w:line="580" w:lineRule="exact"/>
        <w:ind w:firstLine="720"/>
        <w:rPr>
          <w:rFonts w:hint="eastAsia" w:ascii="Times New Roman" w:hAnsi="Times New Roman" w:eastAsia="宋体" w:cs="Times New Roman"/>
          <w:kern w:val="2"/>
          <w:sz w:val="28"/>
          <w:szCs w:val="22"/>
          <w:lang w:val="zh-CN" w:eastAsia="zh-CN" w:bidi="ar-SA"/>
        </w:rPr>
      </w:pPr>
      <w:r>
        <w:rPr>
          <w:rFonts w:hint="eastAsia" w:ascii="仿宋_GB2312" w:hAnsi="Calibri" w:eastAsia="仿宋_GB2312" w:cs="仿宋"/>
          <w:color w:val="000000"/>
          <w:kern w:val="0"/>
          <w:sz w:val="32"/>
          <w:szCs w:val="32"/>
          <w:lang w:val="zh-CN" w:eastAsia="zh-CN" w:bidi="ar-SA"/>
        </w:rPr>
        <w:t>我公司开展了重点行业企业用地土壤污染状况详查工作，于2020年10月提交完毕分析测试数据，为四川省掌握全省重点行业企业用地中污染地块的分布及其环境风险情况提供了数据支撑。截止目前，生态环境厅和财政厅暂未组织专家对项目进行验收。</w:t>
      </w:r>
    </w:p>
    <w:p>
      <w:pPr>
        <w:tabs>
          <w:tab w:val="left" w:pos="3885"/>
        </w:tabs>
        <w:snapToGrid w:val="0"/>
        <w:spacing w:line="600" w:lineRule="exact"/>
        <w:ind w:firstLine="562" w:firstLineChars="200"/>
        <w:jc w:val="left"/>
        <w:rPr>
          <w:rFonts w:ascii="黑体" w:hAnsi="宋体" w:eastAsia="黑体"/>
          <w:b/>
          <w:bCs/>
          <w:sz w:val="28"/>
          <w:szCs w:val="22"/>
        </w:rPr>
      </w:pPr>
      <w:r>
        <w:rPr>
          <w:rFonts w:hint="eastAsia" w:ascii="黑体" w:hAnsi="宋体" w:eastAsia="黑体"/>
          <w:b/>
          <w:bCs/>
          <w:sz w:val="28"/>
          <w:szCs w:val="22"/>
        </w:rPr>
        <w:t>（三）</w:t>
      </w:r>
      <w:r>
        <w:rPr>
          <w:rFonts w:hint="eastAsia" w:ascii="楷体_GB2312" w:hAnsi="宋体" w:eastAsia="楷体_GB2312"/>
          <w:b/>
          <w:bCs w:val="0"/>
          <w:sz w:val="28"/>
          <w:szCs w:val="36"/>
        </w:rPr>
        <w:t>资金投入使用情况</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根据《四川省财政厅关于2020年省级生态环境保护专项资金（第三批）支出预算的通知》（川财资环〔2020〕43号），我单位2020年收到省财政厅拨付“四川省重点行业企业用地调查采样项目”专项资金1,146.00万元，专项资金到位及时。</w:t>
      </w:r>
    </w:p>
    <w:p>
      <w:pPr>
        <w:adjustRightInd w:val="0"/>
        <w:snapToGrid w:val="0"/>
        <w:spacing w:line="580" w:lineRule="exact"/>
        <w:ind w:firstLine="720"/>
        <w:rPr>
          <w:rFonts w:hint="eastAsia" w:ascii="Times New Roman" w:eastAsia="宋体"/>
          <w:kern w:val="2"/>
          <w:sz w:val="28"/>
          <w:szCs w:val="22"/>
        </w:rPr>
      </w:pPr>
      <w:r>
        <w:rPr>
          <w:rFonts w:hint="eastAsia" w:ascii="仿宋_GB2312" w:hAnsi="Calibri" w:eastAsia="仿宋_GB2312" w:cs="仿宋"/>
          <w:color w:val="000000"/>
          <w:kern w:val="0"/>
          <w:sz w:val="32"/>
          <w:szCs w:val="32"/>
          <w:lang w:val="en-US" w:eastAsia="zh-CN" w:bidi="ar-SA"/>
        </w:rPr>
        <w:t>我公司依据《四川省重点行业企业用地调查分析（2020年）预算书》和《土壤污染防治专项资金管理办法》（川财环〔2019〕11号）对专项资金支出进行管理。截止2020年9月底，四川省重点行业企业用地调查分析工作实际支出合计1265.69万元（其中政府专项资金1146.00万元，企业自筹资金119.69万元），其中人员费729.77万元，专用材料和燃料费282.81万元，咨询劳务费4.67万元，设备使用费101.18万元，维修（护）费74.46万元，其他费用19.4万元，办公费9.74万元，印刷费8.30万元，房租水电物业费34.03万元，交通费0.03万元，会议费1.30万元。专项资金执行率为100%。</w:t>
      </w:r>
    </w:p>
    <w:p>
      <w:pPr>
        <w:tabs>
          <w:tab w:val="left" w:pos="3885"/>
        </w:tabs>
        <w:snapToGrid w:val="0"/>
        <w:spacing w:line="600" w:lineRule="exact"/>
        <w:ind w:firstLine="562" w:firstLineChars="200"/>
        <w:jc w:val="left"/>
        <w:rPr>
          <w:rFonts w:ascii="黑体" w:hAnsi="宋体" w:eastAsia="黑体"/>
          <w:b/>
          <w:bCs/>
          <w:sz w:val="28"/>
          <w:szCs w:val="22"/>
        </w:rPr>
      </w:pPr>
      <w:r>
        <w:rPr>
          <w:rFonts w:hint="eastAsia" w:ascii="黑体" w:hAnsi="宋体" w:eastAsia="黑体"/>
          <w:b/>
          <w:bCs/>
          <w:sz w:val="28"/>
          <w:szCs w:val="22"/>
        </w:rPr>
        <w:t>（四）</w:t>
      </w:r>
      <w:r>
        <w:rPr>
          <w:rFonts w:hint="eastAsia" w:ascii="楷体_GB2312" w:hAnsi="宋体" w:eastAsia="楷体_GB2312"/>
          <w:b/>
          <w:bCs w:val="0"/>
          <w:sz w:val="28"/>
          <w:szCs w:val="36"/>
        </w:rPr>
        <w:t>项目绩效目标</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根据布点方案，进行现场采样，对样品进行实验分析，出具实验结果及监测报告，为风险分级工作和优先管控名录建立提供科学依据。至2020年10月18日，项目共完成了802个地块（不包含1地块无样品）的分析测试任务。其中，纳入分析测试系统中地块795个，试点地块2个，背景点4个，中石油地块1个（吊黄楼）。测试系统中的795个地块中，检测地块391个，比对地块404个。项目数量指标、质量指标、经济指标、社会效益等指标均达到预期目标。</w:t>
      </w:r>
    </w:p>
    <w:p>
      <w:pPr>
        <w:pStyle w:val="2"/>
        <w:snapToGrid w:val="0"/>
        <w:spacing w:line="600" w:lineRule="exact"/>
        <w:ind w:firstLine="562"/>
        <w:rPr>
          <w:rFonts w:ascii="黑体" w:hAnsi="黑体" w:eastAsia="黑体" w:cs="黑体"/>
          <w:b/>
          <w:bCs/>
        </w:rPr>
      </w:pPr>
      <w:r>
        <w:rPr>
          <w:rFonts w:hint="eastAsia" w:ascii="黑体" w:hAnsi="黑体" w:eastAsia="黑体" w:cs="黑体"/>
          <w:b/>
          <w:bCs/>
        </w:rPr>
        <w:t>二、评价工作开展情况</w:t>
      </w:r>
    </w:p>
    <w:p>
      <w:pPr>
        <w:numPr>
          <w:ilvl w:val="0"/>
          <w:numId w:val="0"/>
        </w:numPr>
        <w:adjustRightInd w:val="0"/>
        <w:snapToGrid w:val="0"/>
        <w:spacing w:line="580" w:lineRule="exact"/>
        <w:ind w:firstLine="562" w:firstLineChars="200"/>
        <w:rPr>
          <w:rFonts w:ascii="黑体" w:hAnsi="宋体" w:eastAsia="黑体"/>
          <w:b/>
          <w:bCs/>
          <w:sz w:val="28"/>
          <w:szCs w:val="22"/>
        </w:rPr>
      </w:pPr>
      <w:r>
        <w:rPr>
          <w:rFonts w:hint="eastAsia" w:ascii="黑体" w:hAnsi="宋体" w:eastAsia="黑体"/>
          <w:b/>
          <w:bCs/>
          <w:sz w:val="28"/>
          <w:szCs w:val="22"/>
          <w:lang w:eastAsia="zh-CN"/>
        </w:rPr>
        <w:t>（一）</w:t>
      </w:r>
      <w:r>
        <w:rPr>
          <w:rFonts w:hint="eastAsia" w:ascii="黑体" w:hAnsi="宋体" w:eastAsia="黑体"/>
          <w:b/>
          <w:bCs/>
          <w:sz w:val="28"/>
          <w:szCs w:val="22"/>
        </w:rPr>
        <w:t>组织情况</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根据财政部门的相关要求，我单位高度重视，结合绩效管理系统评分表设置了评价指标体系，运用一定的量化指标及评价标准，由项目经理组织相关人员认真组织本项目支出绩效自评，对单位所确定的绩效目标的实现程度、预算的执行结果进行综合性评价。</w:t>
      </w:r>
    </w:p>
    <w:p>
      <w:pPr>
        <w:numPr>
          <w:ilvl w:val="0"/>
          <w:numId w:val="0"/>
        </w:numPr>
        <w:adjustRightInd w:val="0"/>
        <w:snapToGrid w:val="0"/>
        <w:spacing w:line="580" w:lineRule="exact"/>
        <w:ind w:firstLine="562" w:firstLineChars="200"/>
        <w:rPr>
          <w:rFonts w:ascii="黑体" w:hAnsi="宋体" w:eastAsia="黑体"/>
          <w:b/>
          <w:bCs/>
          <w:sz w:val="28"/>
          <w:szCs w:val="22"/>
        </w:rPr>
      </w:pPr>
      <w:r>
        <w:rPr>
          <w:rFonts w:hint="eastAsia" w:ascii="黑体" w:hAnsi="宋体" w:eastAsia="黑体"/>
          <w:b/>
          <w:bCs/>
          <w:sz w:val="28"/>
          <w:szCs w:val="22"/>
          <w:lang w:eastAsia="zh-CN"/>
        </w:rPr>
        <w:t>（二）</w:t>
      </w:r>
      <w:r>
        <w:rPr>
          <w:rFonts w:hint="eastAsia" w:ascii="黑体" w:hAnsi="宋体" w:eastAsia="黑体"/>
          <w:b/>
          <w:bCs/>
          <w:sz w:val="28"/>
          <w:szCs w:val="22"/>
        </w:rPr>
        <w:t>指标体系</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绩效评价指标主要包括完成指标、效益指标、满意度指标3个一级指标。</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完成指标下设：数量指标（完成重点行业企业用地调查土壤及地下水采样、制样分析、质控、数据上报等指标数量）、质量指标（调查数据通过国家质量审核）、时效指标（完成2020年度工作计划时间）、成本指标（项目实施未超出预算）4个二级指标（4个三级指标）。</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效益指标下设：经济效益指标（重点行业企业用地调查项目经济效益）、社会效益指标（污染地块安全利用率）生态效益指标（调查范围内土壤风险防患防控率）、可持续影响指标（掌握重点行业企业用地基本情况）4个二级指标（4个三级指标）。</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满意度指标下设：满意度指标（详查数据服务对象满意度）1个二级指标（1个三级指标）。</w:t>
      </w:r>
    </w:p>
    <w:p>
      <w:pPr>
        <w:numPr>
          <w:ilvl w:val="0"/>
          <w:numId w:val="0"/>
        </w:numPr>
        <w:adjustRightInd w:val="0"/>
        <w:snapToGrid w:val="0"/>
        <w:spacing w:line="580" w:lineRule="exact"/>
        <w:ind w:firstLine="562" w:firstLineChars="200"/>
        <w:rPr>
          <w:rFonts w:ascii="楷体_GB2312" w:hAnsi="宋体" w:eastAsia="楷体_GB2312"/>
          <w:b/>
          <w:sz w:val="28"/>
          <w:szCs w:val="36"/>
        </w:rPr>
      </w:pPr>
      <w:r>
        <w:rPr>
          <w:rFonts w:hint="eastAsia" w:ascii="楷体_GB2312" w:hAnsi="宋体" w:eastAsia="楷体_GB2312"/>
          <w:b/>
          <w:sz w:val="28"/>
          <w:szCs w:val="36"/>
          <w:lang w:eastAsia="zh-CN"/>
        </w:rPr>
        <w:t>（三）</w:t>
      </w:r>
      <w:r>
        <w:rPr>
          <w:rFonts w:hint="eastAsia" w:ascii="楷体_GB2312" w:hAnsi="宋体" w:eastAsia="楷体_GB2312"/>
          <w:b/>
          <w:sz w:val="28"/>
          <w:szCs w:val="36"/>
        </w:rPr>
        <w:t>评价方法</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预算单位自评价方法总体采用目标比较法，采取定性与定量评价相结合的方式，通过召开座谈会听取介绍、核对财务账目、检查档案资料等方式，主要采用目标评价法、询问查证法、公众评议法等方法，现场评价与资料评价相结合，对本项目支出绩效自评中的总体目标和各项绩效指标逐项进行评价分析。自评得分总分根据自评表设定的各项指标得分汇总形成。</w:t>
      </w:r>
    </w:p>
    <w:p>
      <w:pPr>
        <w:numPr>
          <w:ilvl w:val="0"/>
          <w:numId w:val="0"/>
        </w:numPr>
        <w:adjustRightInd w:val="0"/>
        <w:snapToGrid w:val="0"/>
        <w:spacing w:line="580" w:lineRule="exact"/>
        <w:ind w:firstLine="562" w:firstLineChars="200"/>
        <w:rPr>
          <w:rFonts w:ascii="楷体_GB2312" w:hAnsi="宋体" w:eastAsia="楷体_GB2312"/>
          <w:b/>
          <w:sz w:val="28"/>
          <w:szCs w:val="36"/>
        </w:rPr>
      </w:pPr>
      <w:r>
        <w:rPr>
          <w:rFonts w:hint="eastAsia" w:ascii="楷体_GB2312" w:hAnsi="宋体" w:eastAsia="楷体_GB2312"/>
          <w:b/>
          <w:sz w:val="28"/>
          <w:szCs w:val="36"/>
          <w:lang w:eastAsia="zh-CN"/>
        </w:rPr>
        <w:t>（四）</w:t>
      </w:r>
      <w:r>
        <w:rPr>
          <w:rFonts w:hint="eastAsia" w:ascii="楷体_GB2312" w:hAnsi="宋体" w:eastAsia="楷体_GB2312"/>
          <w:b/>
          <w:sz w:val="28"/>
          <w:szCs w:val="36"/>
        </w:rPr>
        <w:t>评分标准</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本次绩效评价采用百分制，各级指标依据其指标权重确定分值，最终得分由各级评价指标得分加总形成。根据最终得分将评价标准分为四个等级：优（得分≥90分）；良（80分≤得分＜90分）；中（60≤得分＜80分）；差（得分＜60分）</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定性指标分析得分主要根据相关指标的完成情况，分为未达到年度指标值并且效果较差、部分达到实现年度指标值并具有一定效果、达到完成年度指标值三个档次，在此基础上，可按照该指标的对应分值区间，如0%-60%、60%（含）-80%、80%（含）-100%，合理计算确定指标分值。</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sectPr>
          <w:pgSz w:w="11906" w:h="16838"/>
          <w:pgMar w:top="1440" w:right="1800" w:bottom="1440" w:left="1800" w:header="851" w:footer="992" w:gutter="0"/>
          <w:pgNumType w:fmt="decimal"/>
          <w:cols w:space="425" w:num="1"/>
          <w:docGrid w:type="lines" w:linePitch="435" w:charSpace="0"/>
        </w:sectPr>
      </w:pPr>
      <w:r>
        <w:rPr>
          <w:rFonts w:hint="eastAsia" w:ascii="仿宋_GB2312" w:hAnsi="Calibri" w:eastAsia="仿宋_GB2312" w:cs="仿宋"/>
          <w:color w:val="000000"/>
          <w:kern w:val="0"/>
          <w:sz w:val="32"/>
          <w:szCs w:val="32"/>
          <w:lang w:val="en-US" w:eastAsia="zh-CN" w:bidi="ar-SA"/>
        </w:rPr>
        <w:t>定量指标分析得分主要是通过各项指标实际完成值与年初指标值相比，如果是完成指标值的，就按该指标所赋的全部权重计算分值，同时对其完成值高于指标值较多的，还必须认真分析其原因，分析结果如发现是由于年初指标值设定明显偏低造成的，那么就要按照偏离程度进行适当调减分值；对于未完成指标值的，要按照完成值与指标值的完成比例相应计算记分。</w:t>
      </w:r>
    </w:p>
    <w:p>
      <w:pPr>
        <w:pStyle w:val="2"/>
        <w:snapToGrid w:val="0"/>
        <w:spacing w:line="600" w:lineRule="exact"/>
        <w:ind w:firstLine="562"/>
        <w:rPr>
          <w:rFonts w:ascii="黑体" w:hAnsi="黑体" w:eastAsia="黑体" w:cs="黑体"/>
          <w:b/>
          <w:bCs/>
        </w:rPr>
      </w:pPr>
      <w:r>
        <w:rPr>
          <w:rFonts w:hint="eastAsia" w:ascii="黑体" w:hAnsi="黑体" w:eastAsia="黑体" w:cs="黑体"/>
          <w:b/>
          <w:bCs/>
        </w:rPr>
        <w:t>三</w:t>
      </w:r>
      <w:r>
        <w:rPr>
          <w:rFonts w:ascii="黑体" w:hAnsi="黑体" w:eastAsia="黑体" w:cs="黑体"/>
          <w:b/>
          <w:bCs/>
        </w:rPr>
        <w:t>、</w:t>
      </w:r>
      <w:r>
        <w:rPr>
          <w:rFonts w:hint="eastAsia" w:ascii="黑体" w:hAnsi="黑体" w:eastAsia="黑体" w:cs="黑体"/>
          <w:b/>
          <w:bCs/>
        </w:rPr>
        <w:t>综合评价结论（附评分表）</w:t>
      </w:r>
    </w:p>
    <w:p>
      <w:pPr>
        <w:pStyle w:val="2"/>
        <w:ind w:firstLine="560"/>
      </w:pPr>
      <w:r>
        <w:t>本项目综合评分为96分（见表1），评级为优。</w:t>
      </w:r>
    </w:p>
    <w:p>
      <w:pPr>
        <w:jc w:val="center"/>
      </w:pPr>
      <w:r>
        <w:rPr>
          <w:rFonts w:hint="eastAsia" w:ascii="黑体" w:hAnsi="宋体" w:eastAsia="黑体"/>
          <w:sz w:val="28"/>
          <w:szCs w:val="22"/>
        </w:rPr>
        <w:t>表1  评分表</w:t>
      </w:r>
    </w:p>
    <w:tbl>
      <w:tblPr>
        <w:tblStyle w:val="13"/>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4253"/>
        <w:gridCol w:w="1276"/>
        <w:gridCol w:w="1559"/>
        <w:gridCol w:w="3061"/>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bookmarkStart w:id="129" w:name="_Hlk75352460"/>
            <w:r>
              <w:rPr>
                <w:rFonts w:hint="eastAsia" w:ascii="仿宋_GB2312" w:hAnsi="宋体"/>
                <w:b/>
                <w:bCs/>
                <w:sz w:val="24"/>
                <w:szCs w:val="24"/>
              </w:rPr>
              <w:t>一级指标</w:t>
            </w:r>
          </w:p>
        </w:tc>
        <w:tc>
          <w:tcPr>
            <w:tcW w:w="2268"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二级指标</w:t>
            </w:r>
          </w:p>
        </w:tc>
        <w:tc>
          <w:tcPr>
            <w:tcW w:w="4253"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三级指标</w:t>
            </w:r>
          </w:p>
        </w:tc>
        <w:tc>
          <w:tcPr>
            <w:tcW w:w="1276"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指标分值</w:t>
            </w:r>
          </w:p>
        </w:tc>
        <w:tc>
          <w:tcPr>
            <w:tcW w:w="4620" w:type="dxa"/>
            <w:gridSpan w:val="2"/>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评分标准</w:t>
            </w:r>
          </w:p>
        </w:tc>
        <w:tc>
          <w:tcPr>
            <w:tcW w:w="743"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Merge w:val="continue"/>
            <w:vAlign w:val="center"/>
          </w:tcPr>
          <w:p>
            <w:pPr>
              <w:pStyle w:val="2"/>
              <w:spacing w:line="240" w:lineRule="auto"/>
              <w:ind w:firstLine="0" w:firstLineChars="0"/>
              <w:jc w:val="center"/>
              <w:rPr>
                <w:rFonts w:ascii="仿宋_GB2312" w:hAnsi="宋体"/>
                <w:b/>
                <w:bCs/>
                <w:sz w:val="24"/>
                <w:szCs w:val="24"/>
              </w:rPr>
            </w:pPr>
          </w:p>
        </w:tc>
        <w:tc>
          <w:tcPr>
            <w:tcW w:w="4253" w:type="dxa"/>
            <w:vMerge w:val="continue"/>
            <w:vAlign w:val="center"/>
          </w:tcPr>
          <w:p>
            <w:pPr>
              <w:pStyle w:val="2"/>
              <w:spacing w:line="240" w:lineRule="auto"/>
              <w:ind w:firstLine="0" w:firstLineChars="0"/>
              <w:jc w:val="center"/>
              <w:rPr>
                <w:rFonts w:ascii="仿宋_GB2312" w:hAnsi="宋体"/>
                <w:b/>
                <w:bCs/>
                <w:sz w:val="24"/>
                <w:szCs w:val="24"/>
              </w:rPr>
            </w:pPr>
          </w:p>
        </w:tc>
        <w:tc>
          <w:tcPr>
            <w:tcW w:w="1276" w:type="dxa"/>
            <w:vMerge w:val="continue"/>
            <w:vAlign w:val="center"/>
          </w:tcPr>
          <w:p>
            <w:pPr>
              <w:pStyle w:val="2"/>
              <w:spacing w:line="240" w:lineRule="auto"/>
              <w:ind w:firstLine="0" w:firstLineChars="0"/>
              <w:jc w:val="center"/>
              <w:rPr>
                <w:rFonts w:ascii="仿宋_GB2312" w:hAnsi="宋体"/>
                <w:b/>
                <w:bCs/>
                <w:sz w:val="24"/>
                <w:szCs w:val="24"/>
              </w:rPr>
            </w:pP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方法归类</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计算方式</w:t>
            </w:r>
          </w:p>
        </w:tc>
        <w:tc>
          <w:tcPr>
            <w:tcW w:w="743" w:type="dxa"/>
            <w:vMerge w:val="continue"/>
            <w:vAlign w:val="center"/>
          </w:tcPr>
          <w:p>
            <w:pPr>
              <w:pStyle w:val="2"/>
              <w:spacing w:line="240" w:lineRule="auto"/>
              <w:ind w:firstLine="0" w:firstLineChars="0"/>
              <w:jc w:val="center"/>
              <w:rPr>
                <w:rFonts w:ascii="仿宋_GB2312"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完成指标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数量指标</w:t>
            </w:r>
          </w:p>
        </w:tc>
        <w:tc>
          <w:tcPr>
            <w:tcW w:w="4253" w:type="dxa"/>
          </w:tcPr>
          <w:p>
            <w:pPr>
              <w:pStyle w:val="2"/>
              <w:spacing w:line="240" w:lineRule="auto"/>
              <w:ind w:firstLine="0" w:firstLineChars="0"/>
              <w:jc w:val="center"/>
              <w:rPr>
                <w:rFonts w:ascii="仿宋_GB2312" w:hAnsi="宋体"/>
                <w:b/>
                <w:bCs/>
                <w:sz w:val="24"/>
                <w:szCs w:val="24"/>
              </w:rPr>
            </w:pPr>
            <w:r>
              <w:rPr>
                <w:rFonts w:hint="eastAsia"/>
              </w:rPr>
              <w:t>完成重点行业企业用地调查土壤及地下水采样、制样分析、质控、数据上报等指标数量</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 w:val="24"/>
                <w:szCs w:val="24"/>
              </w:rPr>
              <w:t>比率分值法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指标得分=实际完成任务量/绩效目标设定任务量×100%*指标分值</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质量指标</w:t>
            </w:r>
          </w:p>
        </w:tc>
        <w:tc>
          <w:tcPr>
            <w:tcW w:w="4253" w:type="dxa"/>
          </w:tcPr>
          <w:p>
            <w:pPr>
              <w:pStyle w:val="2"/>
              <w:spacing w:line="240" w:lineRule="auto"/>
              <w:ind w:firstLine="0" w:firstLineChars="0"/>
              <w:jc w:val="center"/>
              <w:rPr>
                <w:rFonts w:ascii="仿宋_GB2312" w:hAnsi="宋体"/>
                <w:b/>
                <w:bCs/>
                <w:sz w:val="24"/>
                <w:szCs w:val="24"/>
              </w:rPr>
            </w:pPr>
            <w:r>
              <w:rPr>
                <w:rFonts w:hint="eastAsia"/>
              </w:rPr>
              <w:t>调查数据通过国家质量审核</w:t>
            </w:r>
          </w:p>
        </w:tc>
        <w:tc>
          <w:tcPr>
            <w:tcW w:w="1276"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2</w:t>
            </w:r>
            <w:r>
              <w:rPr>
                <w:rFonts w:ascii="仿宋_GB2312" w:hAnsi="宋体"/>
                <w:b/>
                <w:bCs/>
                <w:sz w:val="24"/>
                <w:szCs w:val="24"/>
              </w:rPr>
              <w:t>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20</w:t>
            </w:r>
            <w:r>
              <w:rPr>
                <w:rFonts w:hint="eastAsia" w:ascii="仿宋_GB2312" w:hAnsi="宋体"/>
                <w:szCs w:val="24"/>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2</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时效指标</w:t>
            </w:r>
          </w:p>
        </w:tc>
        <w:tc>
          <w:tcPr>
            <w:tcW w:w="4253" w:type="dxa"/>
          </w:tcPr>
          <w:p>
            <w:pPr>
              <w:pStyle w:val="2"/>
              <w:spacing w:line="240" w:lineRule="auto"/>
              <w:ind w:firstLine="0" w:firstLineChars="0"/>
              <w:jc w:val="center"/>
              <w:rPr>
                <w:rFonts w:ascii="仿宋_GB2312" w:hAnsi="宋体"/>
                <w:b/>
                <w:bCs/>
                <w:sz w:val="24"/>
                <w:szCs w:val="24"/>
              </w:rPr>
            </w:pPr>
            <w:r>
              <w:rPr>
                <w:rFonts w:hint="eastAsia"/>
              </w:rPr>
              <w:t>完成2</w:t>
            </w:r>
            <w:r>
              <w:t>020</w:t>
            </w:r>
            <w:r>
              <w:rPr>
                <w:rFonts w:hint="eastAsia"/>
              </w:rPr>
              <w:t>年度工作计划时间</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成本指标</w:t>
            </w:r>
          </w:p>
        </w:tc>
        <w:tc>
          <w:tcPr>
            <w:tcW w:w="4253" w:type="dxa"/>
          </w:tcPr>
          <w:p>
            <w:pPr>
              <w:pStyle w:val="2"/>
              <w:spacing w:line="240" w:lineRule="auto"/>
              <w:ind w:firstLine="0" w:firstLineChars="0"/>
              <w:jc w:val="center"/>
            </w:pPr>
            <w:r>
              <w:rPr>
                <w:rFonts w:hint="eastAsia"/>
              </w:rPr>
              <w:t>项目实施未超出预算</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效益指标</w:t>
            </w:r>
          </w:p>
        </w:tc>
        <w:tc>
          <w:tcPr>
            <w:tcW w:w="2268" w:type="dxa"/>
            <w:vAlign w:val="center"/>
          </w:tcPr>
          <w:p>
            <w:pPr>
              <w:pStyle w:val="2"/>
              <w:spacing w:line="240" w:lineRule="auto"/>
              <w:ind w:firstLine="0" w:firstLineChars="0"/>
              <w:jc w:val="center"/>
            </w:pPr>
            <w:r>
              <w:rPr>
                <w:rFonts w:hint="eastAsia"/>
              </w:rPr>
              <w:t>经济效益指标</w:t>
            </w:r>
          </w:p>
        </w:tc>
        <w:tc>
          <w:tcPr>
            <w:tcW w:w="4253" w:type="dxa"/>
          </w:tcPr>
          <w:p>
            <w:pPr>
              <w:pStyle w:val="2"/>
              <w:spacing w:line="240" w:lineRule="auto"/>
              <w:ind w:firstLine="0" w:firstLineChars="0"/>
              <w:jc w:val="center"/>
            </w:pPr>
          </w:p>
          <w:p>
            <w:pPr>
              <w:pStyle w:val="2"/>
              <w:spacing w:line="240" w:lineRule="auto"/>
              <w:ind w:firstLine="0" w:firstLineChars="0"/>
              <w:jc w:val="center"/>
            </w:pPr>
            <w:r>
              <w:rPr>
                <w:rFonts w:hint="eastAsia"/>
              </w:rPr>
              <w:t>资金使用率</w:t>
            </w:r>
          </w:p>
        </w:tc>
        <w:tc>
          <w:tcPr>
            <w:tcW w:w="1276" w:type="dxa"/>
            <w:vAlign w:val="center"/>
          </w:tcPr>
          <w:p>
            <w:pPr>
              <w:pStyle w:val="2"/>
              <w:spacing w:line="240" w:lineRule="auto"/>
              <w:ind w:firstLine="0" w:firstLineChars="0"/>
              <w:jc w:val="center"/>
            </w:pPr>
            <w: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比率分值法</w:t>
            </w:r>
          </w:p>
        </w:tc>
        <w:tc>
          <w:tcPr>
            <w:tcW w:w="3061" w:type="dxa"/>
            <w:vAlign w:val="center"/>
          </w:tcPr>
          <w:p>
            <w:pPr>
              <w:pStyle w:val="2"/>
              <w:spacing w:line="240" w:lineRule="auto"/>
              <w:ind w:firstLine="0" w:firstLineChars="0"/>
              <w:jc w:val="center"/>
            </w:pPr>
            <w:r>
              <w:rPr>
                <w:rFonts w:hint="eastAsia"/>
              </w:rPr>
              <w:t>指标得分=资金实际使用金额/资金实际拨付金额×100%*指标分值</w:t>
            </w:r>
          </w:p>
        </w:tc>
        <w:tc>
          <w:tcPr>
            <w:tcW w:w="743"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1</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社会效益指标</w:t>
            </w:r>
          </w:p>
        </w:tc>
        <w:tc>
          <w:tcPr>
            <w:tcW w:w="4253" w:type="dxa"/>
            <w:vAlign w:val="center"/>
          </w:tcPr>
          <w:p>
            <w:pPr>
              <w:pStyle w:val="2"/>
              <w:spacing w:line="240" w:lineRule="auto"/>
              <w:ind w:firstLine="0" w:firstLineChars="0"/>
              <w:jc w:val="center"/>
            </w:pPr>
            <w:r>
              <w:rPr>
                <w:rFonts w:hint="eastAsia"/>
              </w:rPr>
              <w:t>污染地块安全利用率</w:t>
            </w:r>
          </w:p>
        </w:tc>
        <w:tc>
          <w:tcPr>
            <w:tcW w:w="1276" w:type="dxa"/>
            <w:vAlign w:val="center"/>
          </w:tcPr>
          <w:p>
            <w:pPr>
              <w:pStyle w:val="2"/>
              <w:spacing w:line="240" w:lineRule="auto"/>
              <w:ind w:firstLine="0" w:firstLineChars="0"/>
              <w:jc w:val="center"/>
            </w:pPr>
            <w:r>
              <w:t>8</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3061" w:type="dxa"/>
            <w:vAlign w:val="center"/>
          </w:tcPr>
          <w:p>
            <w:pPr>
              <w:pStyle w:val="2"/>
              <w:spacing w:line="240" w:lineRule="auto"/>
              <w:ind w:firstLine="0" w:firstLineChars="0"/>
              <w:jc w:val="center"/>
            </w:pPr>
            <w:r>
              <w:t>0-4</w:t>
            </w:r>
            <w:r>
              <w:rPr>
                <w:rFonts w:hint="eastAsia"/>
              </w:rPr>
              <w:t xml:space="preserve">-低 </w:t>
            </w:r>
            <w:r>
              <w:t>5-7</w:t>
            </w:r>
            <w:r>
              <w:rPr>
                <w:rFonts w:hint="eastAsia"/>
              </w:rPr>
              <w:t xml:space="preserve">-中 </w:t>
            </w:r>
            <w:r>
              <w:t>8</w:t>
            </w:r>
            <w:r>
              <w:rPr>
                <w:rFonts w:hint="eastAsia"/>
              </w:rPr>
              <w:t>-高</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生态效益指标</w:t>
            </w:r>
          </w:p>
        </w:tc>
        <w:tc>
          <w:tcPr>
            <w:tcW w:w="4253" w:type="dxa"/>
            <w:vAlign w:val="center"/>
          </w:tcPr>
          <w:p>
            <w:pPr>
              <w:pStyle w:val="2"/>
              <w:spacing w:line="240" w:lineRule="auto"/>
              <w:ind w:firstLine="0" w:firstLineChars="0"/>
              <w:jc w:val="center"/>
            </w:pPr>
            <w:r>
              <w:rPr>
                <w:rFonts w:hint="eastAsia"/>
              </w:rPr>
              <w:t>调查范围内土壤风险防患防控率</w:t>
            </w:r>
          </w:p>
        </w:tc>
        <w:tc>
          <w:tcPr>
            <w:tcW w:w="1276" w:type="dxa"/>
            <w:vAlign w:val="center"/>
          </w:tcPr>
          <w:p>
            <w:pPr>
              <w:pStyle w:val="2"/>
              <w:spacing w:line="240" w:lineRule="auto"/>
              <w:ind w:firstLine="0" w:firstLineChars="0"/>
              <w:jc w:val="center"/>
            </w:pPr>
            <w:r>
              <w:t>6</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3061" w:type="dxa"/>
            <w:vAlign w:val="center"/>
          </w:tcPr>
          <w:p>
            <w:pPr>
              <w:pStyle w:val="2"/>
              <w:spacing w:line="240" w:lineRule="auto"/>
              <w:ind w:firstLine="0" w:firstLineChars="0"/>
              <w:jc w:val="center"/>
            </w:pPr>
            <w:r>
              <w:t>0-3</w:t>
            </w:r>
            <w:r>
              <w:rPr>
                <w:rFonts w:hint="eastAsia"/>
              </w:rPr>
              <w:t xml:space="preserve">-低 </w:t>
            </w:r>
            <w:r>
              <w:t>3-5</w:t>
            </w:r>
            <w:r>
              <w:rPr>
                <w:rFonts w:hint="eastAsia"/>
              </w:rPr>
              <w:t xml:space="preserve">-中 </w:t>
            </w:r>
            <w:r>
              <w:t>6</w:t>
            </w:r>
            <w:r>
              <w:rPr>
                <w:rFonts w:hint="eastAsia"/>
              </w:rPr>
              <w:t>-高</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可持续影响指标</w:t>
            </w:r>
          </w:p>
        </w:tc>
        <w:tc>
          <w:tcPr>
            <w:tcW w:w="4253" w:type="dxa"/>
            <w:vAlign w:val="center"/>
          </w:tcPr>
          <w:p>
            <w:pPr>
              <w:pStyle w:val="2"/>
              <w:spacing w:line="240" w:lineRule="auto"/>
              <w:ind w:firstLine="0" w:firstLineChars="0"/>
              <w:jc w:val="center"/>
            </w:pPr>
            <w:r>
              <w:rPr>
                <w:rFonts w:hint="eastAsia"/>
              </w:rPr>
              <w:t>掌握重点行业企业用地基本情况</w:t>
            </w:r>
          </w:p>
        </w:tc>
        <w:tc>
          <w:tcPr>
            <w:tcW w:w="1276" w:type="dxa"/>
            <w:vAlign w:val="center"/>
          </w:tcPr>
          <w:p>
            <w:pPr>
              <w:pStyle w:val="2"/>
              <w:spacing w:line="240" w:lineRule="auto"/>
              <w:ind w:firstLine="0" w:firstLineChars="0"/>
              <w:jc w:val="center"/>
            </w:pPr>
            <w:r>
              <w:rPr>
                <w:rFonts w:hint="eastAsia"/>
              </w:rPr>
              <w:t>6</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pPr>
            <w:r>
              <w:rPr>
                <w:rFonts w:hint="eastAsia"/>
              </w:rPr>
              <w:t xml:space="preserve">0-否 </w:t>
            </w:r>
            <w:r>
              <w:t>6</w:t>
            </w:r>
            <w:r>
              <w:rPr>
                <w:rFonts w:hint="eastAsia"/>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96"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4253" w:type="dxa"/>
            <w:vAlign w:val="center"/>
          </w:tcPr>
          <w:p>
            <w:pPr>
              <w:pStyle w:val="2"/>
              <w:spacing w:line="240" w:lineRule="auto"/>
              <w:ind w:firstLine="0" w:firstLineChars="0"/>
              <w:jc w:val="center"/>
              <w:rPr>
                <w:rFonts w:ascii="仿宋_GB2312" w:hAnsi="宋体"/>
                <w:b/>
                <w:bCs/>
                <w:sz w:val="24"/>
                <w:szCs w:val="24"/>
              </w:rPr>
            </w:pPr>
            <w:r>
              <w:rPr>
                <w:rFonts w:hint="eastAsia"/>
              </w:rPr>
              <w:t>详查数据服务对象满意度</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ascii="仿宋_GB2312" w:hAnsi="宋体"/>
                <w:szCs w:val="24"/>
              </w:rPr>
              <w:t>1-3</w:t>
            </w:r>
            <w:r>
              <w:rPr>
                <w:rFonts w:hint="eastAsia" w:ascii="仿宋_GB2312" w:hAnsi="宋体"/>
                <w:szCs w:val="24"/>
              </w:rPr>
              <w:t xml:space="preserve">-不满意 </w:t>
            </w:r>
            <w:r>
              <w:rPr>
                <w:rFonts w:ascii="仿宋_GB2312" w:hAnsi="宋体"/>
                <w:szCs w:val="24"/>
              </w:rPr>
              <w:t>4-9</w:t>
            </w:r>
            <w:r>
              <w:rPr>
                <w:rFonts w:hint="eastAsia" w:ascii="仿宋_GB2312" w:hAnsi="宋体"/>
                <w:szCs w:val="24"/>
              </w:rPr>
              <w:t xml:space="preserve">-较满意 </w:t>
            </w:r>
            <w:r>
              <w:rPr>
                <w:rFonts w:ascii="仿宋_GB2312" w:hAnsi="宋体"/>
                <w:szCs w:val="24"/>
              </w:rPr>
              <w:t>10</w:t>
            </w:r>
            <w:r>
              <w:rPr>
                <w:rFonts w:hint="eastAsia" w:ascii="仿宋_GB2312" w:hAnsi="宋体"/>
                <w:szCs w:val="24"/>
              </w:rPr>
              <w:t>-满意</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9</w:t>
            </w:r>
          </w:p>
        </w:tc>
      </w:tr>
      <w:bookmarkEnd w:id="129"/>
    </w:tbl>
    <w:p>
      <w:pPr>
        <w:rPr>
          <w:rFonts w:hint="eastAsia"/>
        </w:rPr>
        <w:sectPr>
          <w:pgSz w:w="16838" w:h="11906" w:orient="landscape"/>
          <w:pgMar w:top="1800" w:right="1440" w:bottom="1800" w:left="1440" w:header="851" w:footer="992" w:gutter="0"/>
          <w:pgNumType w:fmt="decimal"/>
          <w:cols w:space="425" w:num="1"/>
          <w:docGrid w:type="lines" w:linePitch="435" w:charSpace="0"/>
        </w:sectPr>
      </w:pPr>
    </w:p>
    <w:p>
      <w:pPr>
        <w:tabs>
          <w:tab w:val="left" w:pos="3885"/>
        </w:tabs>
        <w:snapToGrid w:val="0"/>
        <w:spacing w:line="600" w:lineRule="exact"/>
        <w:ind w:firstLine="600" w:firstLineChars="200"/>
        <w:jc w:val="left"/>
        <w:rPr>
          <w:rFonts w:ascii="黑体" w:hAnsi="黑体" w:eastAsia="黑体"/>
          <w:sz w:val="30"/>
          <w:szCs w:val="30"/>
        </w:rPr>
      </w:pPr>
      <w:r>
        <w:rPr>
          <w:rFonts w:hint="eastAsia" w:ascii="黑体" w:hAnsi="黑体" w:eastAsia="黑体"/>
          <w:sz w:val="30"/>
          <w:szCs w:val="30"/>
        </w:rPr>
        <w:t>四、绩效评价分析</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（一）项目决策情况</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四川省重点行业企业用地调查是四川省土壤污染状况详查的重要组成部分，是土壤污染防治的基础性工作。开展重点行业企业用地调查，摸清企业用地土壤污染状况，对于建立污染地块清单和优先管控名录，推进建设用地准入管理，实施土壤污染分类别、分用途、分阶段治理，加强土壤环境污染防治和风险管控，维护公众健康，建立和完善我省土壤环境管理体系，提升土壤环境管理水平，促进土壤资源永续利用、保障人居环境安全，具有十分重要的意义。</w:t>
      </w:r>
    </w:p>
    <w:p>
      <w:pPr>
        <w:adjustRightInd w:val="0"/>
        <w:snapToGrid w:val="0"/>
        <w:spacing w:line="580" w:lineRule="exact"/>
        <w:ind w:firstLine="720"/>
        <w:rPr>
          <w:rFonts w:hint="eastAsia" w:ascii="Times New Roman" w:eastAsia="宋体"/>
          <w:kern w:val="2"/>
          <w:sz w:val="28"/>
          <w:szCs w:val="22"/>
        </w:rPr>
      </w:pPr>
      <w:r>
        <w:rPr>
          <w:rFonts w:hint="eastAsia" w:ascii="仿宋_GB2312" w:hAnsi="Calibri" w:eastAsia="仿宋_GB2312" w:cs="仿宋"/>
          <w:color w:val="000000"/>
          <w:kern w:val="0"/>
          <w:sz w:val="32"/>
          <w:szCs w:val="32"/>
          <w:lang w:val="en-US" w:eastAsia="zh-CN" w:bidi="ar-SA"/>
        </w:rPr>
        <w:t>该项目的立项符合国家法律法规、国民经济发展规划和相关政策、符合行业发展规划和政策要求，符合“土壤污染防治行动计划”，与四川省生态环境厅职责范围相符，属于四川省生态环境厅履职所需。根据《四川省环境保护厅办公室关于印发&lt;四川省重点行业企业用地调查实施方案&gt;的通知》（川环办发〔2018〕73号），项目的设立程序符合相关规定，审批文件、材料符合相关要求，且项目的设立经过了必要的可行性研究、专家论证、风险评估、绩效评估、集体决策。同时，四川省重点行业企业用地调查属于中央财政资金支持范围，符合中央支出责任划分原则。</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（二）项目管理情况</w:t>
      </w:r>
    </w:p>
    <w:p>
      <w:pPr>
        <w:pStyle w:val="2"/>
        <w:ind w:firstLine="560"/>
        <w:rPr>
          <w:rFonts w:hint="eastAsia" w:ascii="Times New Roman" w:eastAsia="宋体"/>
          <w:kern w:val="2"/>
          <w:sz w:val="28"/>
          <w:szCs w:val="22"/>
        </w:rPr>
      </w:pPr>
      <w:r>
        <w:rPr>
          <w:rFonts w:hint="eastAsia" w:ascii="Times New Roman" w:eastAsia="宋体"/>
          <w:kern w:val="2"/>
          <w:sz w:val="28"/>
          <w:szCs w:val="22"/>
        </w:rPr>
        <w:t>2.1项目财务管理情况</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我公司根据《土壤污染状况详查项目财务管理办法》（财资环〔2019〕11号）、四川省财政资金管理相关规定、四川省地质矿产勘查开发局成都水文地质工程队土壤详查专项资金管理办法、四川省地质工程勘察院集团有限公司《土壤污染状况详查项目财务管理办法》相关规定以及公司财务管理制度对专项资金支出进行管理，制定《四川省天晟源环保股份有限公司2020年四川省重点行业企业用地调查分析项目专项绩效管理办法》，设置专项科目对专项资金进行核算，规范资金支付程序，审核原始凭证，及时进行财务处理。</w:t>
      </w:r>
    </w:p>
    <w:p>
      <w:pPr>
        <w:pStyle w:val="2"/>
        <w:ind w:firstLine="560"/>
        <w:rPr>
          <w:rFonts w:hint="eastAsia" w:ascii="Times New Roman" w:eastAsia="宋体"/>
          <w:kern w:val="2"/>
          <w:sz w:val="28"/>
          <w:szCs w:val="22"/>
        </w:rPr>
      </w:pPr>
      <w:r>
        <w:rPr>
          <w:rFonts w:hint="eastAsia" w:ascii="Times New Roman" w:eastAsia="宋体"/>
          <w:kern w:val="2"/>
          <w:sz w:val="28"/>
          <w:szCs w:val="22"/>
        </w:rPr>
        <w:t>2.2项目组织实施情况。</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2019年四川省启动了重点行业企业用地土壤污染状况详查工作，并要求于2020年年底前掌握全省重点行业企业用地中污染地块的分布及其环境风险情况。</w:t>
      </w:r>
    </w:p>
    <w:p>
      <w:pPr>
        <w:pStyle w:val="2"/>
        <w:ind w:firstLine="560"/>
        <w:rPr>
          <w:rFonts w:hint="eastAsia" w:ascii="Times New Roman" w:eastAsia="宋体"/>
          <w:kern w:val="2"/>
          <w:sz w:val="28"/>
          <w:szCs w:val="22"/>
        </w:rPr>
      </w:pPr>
      <w:r>
        <w:rPr>
          <w:rFonts w:hint="eastAsia" w:ascii="仿宋_GB2312" w:hAnsi="Calibri" w:eastAsia="仿宋_GB2312" w:cs="仿宋"/>
          <w:color w:val="000000"/>
          <w:kern w:val="0"/>
          <w:sz w:val="32"/>
          <w:szCs w:val="32"/>
          <w:lang w:val="en-US" w:eastAsia="zh-CN" w:bidi="ar-SA"/>
        </w:rPr>
        <w:t>2020年6月，我公司参与编制了《四川省重点行业企业用地初步采样调查实施方案》，方案中明确了本项目中各任务承担单位的具体要求与任务分工，明确了项目实施的技术路线。为进一步贯彻落实国家、省级的重点行业企业用地调查技术规定，进一步贯彻落实《四川省重点行业企业用地初步采样调查实施方案》，规范重点行业企业用地调查项目收样、流转、分析、数据审核、数据上报等环节的具体工作，我公司编制了《四川省天晟源环保公司重点行业企业用地项目实施及质量控制方案》并在全流程中严格执行。方案中对人员安排、仪器配置、物资耗材管理、项目开展流程、质量控制方式等方面进行了充分的描述，项目组成员严格按照既定方案开展工作，各环节有条不紊，确保项目如期完成。</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上述项目的实施方案编制过程中，各个环节、各个责任小组严格按照方案要求进行技术活动。项目组织管理有条不紊，各个小组各司其职，运行流畅。积极与主管部门沟通，上报公司项目开展情况，主管部门定期发布进度通报。及时收集各类资料档案，包括各类指导性文件、内部原始记录、检测报告、质控报告等，保障资料完整、齐全。</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在四川省生态环境厅、四川省生态环境监测总站、四川省生态环境科学研究院等各级领导的大力支持下，公司通过试点地块，方法验证，交流培训等方式在项目开展前落实技术重难点、掌握项目整体运行模式并及时核算任务量，组织管理和技术人员成立了90余人的项目组。项目组投入样品流转人员12名、分析测试技术人员49名、18名报告审核和数据报送人员、6名后勤人员以及5名仪器设备管理员等各类技术人员，保证了样品流转、测试分析、数据上报表处理，报告审核等各环节专人专用。所有技术人员均进行了多次线上线下相关培训，累计培训400余人次。确保了各环节积极沟通，项目高效流畅。项目开展前期，项目组开展了大量的分析方法验证试验，对各类有机指标进行了优化组合，配合省站进行了指标模块化工作，为全省项目顺利开展预制好了底层逻辑。并派员配合省环科院进行了布点方案专家审核工作。</w:t>
      </w:r>
    </w:p>
    <w:p>
      <w:pPr>
        <w:pStyle w:val="2"/>
        <w:ind w:firstLine="560"/>
        <w:rPr>
          <w:rFonts w:hint="eastAsia" w:ascii="Times New Roman" w:eastAsia="宋体"/>
          <w:kern w:val="2"/>
          <w:sz w:val="28"/>
          <w:szCs w:val="22"/>
        </w:rPr>
      </w:pPr>
      <w:r>
        <w:rPr>
          <w:rFonts w:hint="eastAsia" w:ascii="仿宋_GB2312" w:hAnsi="Calibri" w:eastAsia="仿宋_GB2312" w:cs="仿宋"/>
          <w:color w:val="000000"/>
          <w:kern w:val="0"/>
          <w:sz w:val="32"/>
          <w:szCs w:val="32"/>
          <w:lang w:val="en-US" w:eastAsia="zh-CN" w:bidi="ar-SA"/>
        </w:rPr>
        <w:t>本项目累计投入前处理设备13台/套，分析测试设备19台/套，做到每类项目均有5台套主要承担设备，2台套备用设备。在部分项目有效期极短，任务量极大的情况下保障了按时、保质、保量完成分析测试任务，在四川省率先完成了分配地块的检测任务。</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年初受疫情影响，项目并未如期开展，项目组未雨绸缪，多次举行在线会议商讨对策。在疫情未严重扩大的情况下便开始在供应商处购买筹备各类国产、进口耗材，租用仓库放置各类关键试剂。在疫情肆虐时，分析测试环节几乎未受疫情影响，保证了分析测试进度。</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项目组各小组均设置了对外联系人员。分析测试负责人与样品接收负责人积极与采样单位沟通协调。每周、每日核算接收样品数量、分析样品数量，将样品数量、分析指标、分析人员、仪器设备进行逐一匹配，使样品分析测试时间精确安排至每一个小时，24小时不间断运转，不分昼夜等。真正做到不耽误采样进度、不耽误分析测试进度、不耽误数据上报进度。各个环节随时保持沟通，确保所有样品均按时分析上报。</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根据项目中所遇到的各类问题，项目组采取周例会形式，在会上积极讨论各类事项解决办法，落实责任人，落实时间节点。</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同时，根据农业用地详查经验，项目组与公司信息中心联合开发设计了企业用地数据处理系统，峰值时，单人单日处理20余个地块数据及报告。该系统有效保证了数据的准确性及及时性，在本项目中后期，面对海量数据，发挥了重要作用。</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四川省重点行业企业用地调查分析项目在实施过程中按照《土壤污染防治专项资金管理办法》（财资环〔2019〕11号）执行，未涉及公开招标和政府采购，项目中涉及的耗材采购因耗材品种多，时间间隔长，采用询价和比价方式选择供应商。</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（三）项目产出情况</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通过全体项目组人员几个月勠力同心、接续奋斗，以不弃微末的工作态度，始终坚守在自己的岗位上。目前，本公司承担的四川省重点行业企业用地土壤污染状况调查分析测试及数据报送工作已圆满完成。共完成802个地块的分析测试任务，实验室共收到样品数量17949个，其中土壤样品17676个，水质样品273个。生态环境厅和财政厅暂未组织专家对项目进行验收。</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本次详查工作，我公司高度重视，从人员安排、仪器配置、物资准备、方法确认、环境保障等各个环节进行了周密的安排部署。各个工作小组各司其职，工作开展有条不紊。</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1、样品流转组积极与流转中心、分析组、质控组保持沟通，及时接收样品。累计流转802个地块，总计17949个样品，每个样品均检查后通过扫码终端进行收样，确保了每一个样品及时，完好送达实验室。</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2、分析组累计出具40万余个有效分析数据，按计划完成了分析任务。并编制、修订了17份作业指导书，30余份方法验证报告。</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3、质控组圆满完成质控任务，确保出具的每批次数据空白、精密度、准确度、复检合格率均满足要求。累计提交了65万余个有效数据，出具检测报告、质控报告总计1000余份，累计上报795个地块数据。</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在各个工作小组紧密切配合下，我公司内部质量控制活动有序进行，质量控制计划有效实施；接受了省级、国家级质量监督检查共10次，其中国家级飞行检查2次，圆满完成了各类迎检任务。针对检查组提出的问题，我公司高度重视，积极面对，认真整改，及时对整改措施进行了验证，编制并提交了10余份整改报告。</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在内、外部质控活动的有序进行下，我公司圆满完成分析检测任务。</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1、开展了分析测试方法均进行方法确认；</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2、样品分析测试精密度控制合格率达到100%；</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3、样品分析测试准确度控制合格率达到100%；</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检验检测各个环节资料完整清晰，确保每个数据均能溯源。</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项目截止，在国家质量监督检查组、省详查办、省级质量监督检查组、省级质控组的积极指导下，在公司领导、详查项目小组的通力配合下，我公司在全省分析测试机构中提前完成了详查分析测试任务。天晟源环保将继续以高度的政治责任感和历史使命感，切实做好后续工作，为圆满完成全省的重点行业企业调查任务贡献“天晟源力量”。</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（四）项目效益情况</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数量指标：本公司从2019年10月与川勘集团协作完成全省第一个试点地块，截止项目完成，分析样品数量17949个，其中土壤样品17676个，水质样品273个。17676个土壤样品含有机17284个（含全程序空白QCK、运输空白YCK），无机及金属样品392个。</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（2）质量指标：项目严格按照国家技术要求进行分析测试工作，通过了省级质控（四川省生态环境监测站）、国家质控（国家详查办）组织的各次质量检查。</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（3）时效指标：于2020年9月31日基本完成公司所负责的分析测试工作，后协助其余机构完成收尾工作，整体项目于2020年10月全部完成，满足时效要求。</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（4）成本指标：截止2020年9月，使用资金1265.69万元（其中政府专项资金1146.00万元，企业自筹资金119.69万元）万元，专项资金执行率为100%。</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（5）经济效益指标：推进建设用地准入管理，指导实施土壤污染分类别、分用途、分阶段治理，有利于相关部门加强土壤环境污染防治和风险管控。</w:t>
      </w:r>
    </w:p>
    <w:p>
      <w:pPr>
        <w:pStyle w:val="2"/>
        <w:ind w:firstLine="560"/>
        <w:rPr>
          <w:rFonts w:hint="eastAsia" w:ascii="Times New Roman" w:eastAsia="宋体"/>
          <w:kern w:val="2"/>
          <w:sz w:val="28"/>
          <w:szCs w:val="22"/>
        </w:rPr>
      </w:pPr>
      <w:r>
        <w:rPr>
          <w:rFonts w:hint="eastAsia" w:ascii="Times New Roman" w:eastAsia="宋体"/>
          <w:kern w:val="2"/>
          <w:sz w:val="28"/>
          <w:szCs w:val="22"/>
        </w:rPr>
        <w:t>（6）社会效益指标</w:t>
      </w:r>
      <w:r>
        <w:rPr>
          <w:rFonts w:hint="eastAsia" w:ascii="Times New Roman" w:eastAsia="宋体"/>
          <w:kern w:val="2"/>
          <w:sz w:val="28"/>
          <w:szCs w:val="22"/>
          <w:lang w:eastAsia="zh-CN"/>
        </w:rPr>
        <w:t>：</w:t>
      </w:r>
      <w:r>
        <w:rPr>
          <w:rFonts w:hint="eastAsia" w:ascii="仿宋_GB2312" w:hAnsi="Calibri" w:eastAsia="仿宋_GB2312" w:cs="仿宋"/>
          <w:color w:val="000000"/>
          <w:kern w:val="0"/>
          <w:sz w:val="32"/>
          <w:szCs w:val="32"/>
          <w:lang w:val="en-US" w:eastAsia="zh-CN" w:bidi="ar-SA"/>
        </w:rPr>
        <w:t>派出专业技术人员，在省环科院、省总站的牵头下形成项目组，进行了成果集成工作。根据调查成果建立了全省重点行业企业用地疑似污染地块清单、污染地块清单和优先管控名录。</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（7）生态效益指标：根据调查成果，有利于加强污染地块管控，防止企业用地环境恶化。</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（8）可持续影响指标：重点行业企业用地调查工作已有序开展完成。</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（9）满意度指标：通过已通过省级抽查，合格率100%，四川省生态环境厅满意度较高。</w:t>
      </w:r>
    </w:p>
    <w:p>
      <w:pPr>
        <w:tabs>
          <w:tab w:val="left" w:pos="3885"/>
        </w:tabs>
        <w:snapToGrid w:val="0"/>
        <w:spacing w:line="600" w:lineRule="exact"/>
        <w:ind w:firstLine="600" w:firstLineChars="200"/>
        <w:jc w:val="left"/>
        <w:rPr>
          <w:rFonts w:ascii="黑体" w:hAnsi="黑体" w:eastAsia="黑体"/>
          <w:sz w:val="30"/>
          <w:szCs w:val="30"/>
        </w:rPr>
      </w:pPr>
      <w:r>
        <w:rPr>
          <w:rFonts w:hint="eastAsia" w:ascii="黑体" w:hAnsi="黑体" w:eastAsia="黑体"/>
          <w:sz w:val="30"/>
          <w:szCs w:val="30"/>
        </w:rPr>
        <w:t>五、存在主要问题</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本项目实施过程中，主要问题存在于采样环节和分析测试环节进度不一致。要么无样品分析，要么样品大量积压。通过后期沟通、磨合，对采样速度，分析测试效率数据不断精确，不断调整采样小组数量及分析测试工作安排，最终达到二者高效协调进行。</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采样和分析互通有无，及时沟通，使得本项目高效开展，最终在川内率先完成分析测试任务。</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项目满意度需要提升。在项目实施过程中，客观上，时间紧、任务重、数据量大，主观上，前期经验不足，对数据处理及审核不够细致，虽然合格率远超技术要求规定，但是仍然出现了部分质量问题，虽然质量问题均已经得到有效整改，但是对客户还是造成了一定影响，以后的工作中将努力改进，提前谋划，争取高效的同时，高质量完成任务。</w:t>
      </w:r>
    </w:p>
    <w:p>
      <w:pPr>
        <w:tabs>
          <w:tab w:val="left" w:pos="3885"/>
        </w:tabs>
        <w:snapToGrid w:val="0"/>
        <w:spacing w:line="600" w:lineRule="exact"/>
        <w:ind w:firstLine="600" w:firstLineChars="200"/>
        <w:jc w:val="left"/>
        <w:rPr>
          <w:rFonts w:ascii="黑体" w:hAnsi="黑体" w:eastAsia="黑体"/>
          <w:sz w:val="30"/>
          <w:szCs w:val="30"/>
        </w:rPr>
      </w:pPr>
      <w:r>
        <w:rPr>
          <w:rFonts w:hint="eastAsia" w:ascii="黑体" w:hAnsi="黑体" w:eastAsia="黑体"/>
          <w:sz w:val="30"/>
          <w:szCs w:val="30"/>
        </w:rPr>
        <w:t>六、相关措施建议</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分析测试技术工作是本项目实施的主线，是确保本项目如期完成的主过程。而质量管理工作是确保数据质量、确保数据可靠的关键。二者缺一不可。项目的圆满完成，为我公司开展类似项目提供了丰富的经验。</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1、前期充分介入，了解项目开展方式</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本项目开展初期，我公司积极进行试点工作，为四川省唯一一家试点分析测试单位。对采样、流转、分析均进行了全方位对接。了解了项目流程，提出了项目运行建议，为后期项目高效实施奠定了基础。</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2、资质扩项，确保分析测试指标全覆盖</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通过建立的分析测试指标库，公司提前谋划，购置设备及试剂耗材。积极增扩项，积极完成方法验证报告，确保分析测试指标均纳入CMA资质范围，确保分析测试指标满足相关技术要求。</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3、未雨绸缪，提前购置试剂耗材</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年初疫情爆发，项目组第一时间进行了试剂耗材购置工作。合同签订，租用库房，按照汇报库存情况，采购情况，确保试剂耗材齐备。</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4、上传下达，确保项目各环节高效沟通</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采样负责人、流转负责人、分析负责人建立高效沟通机制，积极沟通进度。协调采样进度、分析进度。确保不耽误采样工作、不积压样品。</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5、优化人员仪器配置，确保分析进度</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根据项目进度要求，按仪器、按人员进行排班，精确至每日分析测试任务。仪器设计排班表，仪器运行、维护精确至小时，合理预留保养时间，确保仪器稳定、高效、正常。</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6、积极进行方法及流程创新，提高精度，提高效率</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时间紧、任务重。各个环节人员不断总结，不断发现并解决生产过程中的技术问题。项目组预计申请专利6个，发表国家级核心3-4篇。其中3个专利进入实质审查，1篇文章国家级核心已接收。</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7、开发数据处理系统，确保分析上报高效、精确</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充分利用2018年农用地土壤详查工作经验，提前谋划，开发并设计了数据处理系统。一键导入、一键导出，形成数据上报表，形成检测报告，形成质控报告。高效、精确完成报告编制工作。</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rPr>
          <w:rFonts w:hint="eastAsia"/>
        </w:rPr>
      </w:pPr>
    </w:p>
    <w:p>
      <w:pPr>
        <w:spacing w:line="600" w:lineRule="exact"/>
        <w:jc w:val="both"/>
        <w:outlineLvl w:val="0"/>
        <w:rPr>
          <w:rFonts w:hint="eastAsia" w:ascii="黑体" w:hAnsi="黑体" w:eastAsia="黑体"/>
          <w:color w:val="000000"/>
          <w:sz w:val="44"/>
          <w:szCs w:val="44"/>
        </w:rPr>
      </w:pPr>
    </w:p>
    <w:p>
      <w:pPr>
        <w:spacing w:line="600" w:lineRule="exact"/>
        <w:jc w:val="center"/>
        <w:outlineLvl w:val="0"/>
        <w:rPr>
          <w:rFonts w:hint="eastAsia" w:ascii="仿宋" w:hAnsi="仿宋" w:eastAsia="仿宋"/>
          <w:b w:val="0"/>
          <w:color w:val="000000"/>
        </w:rPr>
      </w:pPr>
      <w:bookmarkStart w:id="130" w:name="_Toc22985"/>
      <w:bookmarkStart w:id="131" w:name="_Toc27539"/>
      <w:bookmarkStart w:id="132" w:name="_Toc14232"/>
      <w:bookmarkStart w:id="133" w:name="_Toc28406"/>
      <w:r>
        <w:rPr>
          <w:rFonts w:hint="eastAsia" w:ascii="黑体" w:hAnsi="黑体" w:eastAsia="黑体"/>
          <w:color w:val="000000"/>
          <w:sz w:val="44"/>
          <w:szCs w:val="44"/>
        </w:rPr>
        <w:t>第</w:t>
      </w:r>
      <w:r>
        <w:rPr>
          <w:rStyle w:val="25"/>
          <w:rFonts w:hint="eastAsia" w:ascii="黑体" w:hAnsi="黑体" w:eastAsia="黑体"/>
          <w:b w:val="0"/>
        </w:rPr>
        <w:t>五部分 附表</w:t>
      </w:r>
      <w:bookmarkEnd w:id="105"/>
      <w:bookmarkEnd w:id="111"/>
      <w:bookmarkEnd w:id="130"/>
      <w:bookmarkEnd w:id="131"/>
      <w:bookmarkEnd w:id="132"/>
      <w:bookmarkEnd w:id="133"/>
      <w:bookmarkStart w:id="134" w:name="_Toc15396619"/>
    </w:p>
    <w:p>
      <w:pPr>
        <w:pStyle w:val="2"/>
        <w:rPr>
          <w:rStyle w:val="26"/>
          <w:rFonts w:hint="eastAsia" w:ascii="仿宋" w:hAnsi="仿宋" w:eastAsia="仿宋"/>
          <w:b w:val="0"/>
          <w:bCs w:val="0"/>
          <w:lang w:eastAsia="zh-CN"/>
        </w:rPr>
      </w:pPr>
      <w:bookmarkStart w:id="135" w:name="_Toc410"/>
      <w:bookmarkStart w:id="136" w:name="_Toc10832"/>
      <w:r>
        <w:rPr>
          <w:rStyle w:val="26"/>
          <w:rFonts w:hint="eastAsia" w:ascii="仿宋" w:hAnsi="仿宋" w:eastAsia="仿宋"/>
          <w:b w:val="0"/>
          <w:bCs w:val="0"/>
          <w:lang w:eastAsia="zh-CN"/>
        </w:rPr>
        <w:t>一、收入支出决算总表</w:t>
      </w:r>
      <w:bookmarkEnd w:id="134"/>
      <w:bookmarkEnd w:id="135"/>
      <w:bookmarkEnd w:id="136"/>
    </w:p>
    <w:p>
      <w:pPr>
        <w:pStyle w:val="2"/>
        <w:rPr>
          <w:rStyle w:val="26"/>
          <w:rFonts w:hint="eastAsia" w:ascii="仿宋" w:hAnsi="仿宋" w:eastAsia="仿宋"/>
          <w:b w:val="0"/>
          <w:bCs w:val="0"/>
          <w:lang w:eastAsia="zh-CN"/>
        </w:rPr>
      </w:pPr>
      <w:bookmarkStart w:id="137" w:name="_Toc15396620"/>
      <w:bookmarkStart w:id="138" w:name="_Toc10392"/>
      <w:bookmarkStart w:id="139" w:name="_Toc4005"/>
      <w:r>
        <w:rPr>
          <w:rStyle w:val="26"/>
          <w:rFonts w:hint="eastAsia" w:ascii="仿宋" w:hAnsi="仿宋" w:eastAsia="仿宋"/>
          <w:b w:val="0"/>
          <w:bCs w:val="0"/>
          <w:lang w:eastAsia="zh-CN"/>
        </w:rPr>
        <w:t>二、收入决算表</w:t>
      </w:r>
      <w:bookmarkEnd w:id="137"/>
      <w:bookmarkEnd w:id="138"/>
      <w:bookmarkEnd w:id="139"/>
    </w:p>
    <w:p>
      <w:pPr>
        <w:pStyle w:val="2"/>
        <w:rPr>
          <w:rStyle w:val="26"/>
          <w:rFonts w:hint="eastAsia" w:ascii="仿宋" w:hAnsi="仿宋" w:eastAsia="仿宋"/>
          <w:b w:val="0"/>
          <w:bCs w:val="0"/>
          <w:lang w:eastAsia="zh-CN"/>
        </w:rPr>
      </w:pPr>
      <w:bookmarkStart w:id="140" w:name="_Toc15396621"/>
      <w:bookmarkStart w:id="141" w:name="_Toc2647"/>
      <w:bookmarkStart w:id="142" w:name="_Toc21968"/>
      <w:r>
        <w:rPr>
          <w:rStyle w:val="26"/>
          <w:rFonts w:hint="eastAsia" w:ascii="仿宋" w:hAnsi="仿宋" w:eastAsia="仿宋"/>
          <w:b w:val="0"/>
          <w:bCs w:val="0"/>
          <w:lang w:eastAsia="zh-CN"/>
        </w:rPr>
        <w:t>三、支出决算表</w:t>
      </w:r>
      <w:bookmarkEnd w:id="140"/>
      <w:bookmarkEnd w:id="141"/>
      <w:bookmarkEnd w:id="142"/>
    </w:p>
    <w:p>
      <w:pPr>
        <w:pStyle w:val="2"/>
        <w:rPr>
          <w:rStyle w:val="26"/>
          <w:rFonts w:hint="eastAsia" w:ascii="仿宋" w:hAnsi="仿宋" w:eastAsia="仿宋"/>
          <w:b w:val="0"/>
          <w:bCs w:val="0"/>
          <w:lang w:eastAsia="zh-CN"/>
        </w:rPr>
      </w:pPr>
      <w:bookmarkStart w:id="143" w:name="_Toc15396622"/>
      <w:bookmarkStart w:id="144" w:name="_Toc20563"/>
      <w:bookmarkStart w:id="145" w:name="_Toc2756"/>
      <w:r>
        <w:rPr>
          <w:rStyle w:val="26"/>
          <w:rFonts w:hint="eastAsia" w:ascii="仿宋" w:hAnsi="仿宋" w:eastAsia="仿宋"/>
          <w:b w:val="0"/>
          <w:bCs w:val="0"/>
          <w:lang w:eastAsia="zh-CN"/>
        </w:rPr>
        <w:t>四、财政拨款收入支出决算总表</w:t>
      </w:r>
      <w:bookmarkEnd w:id="143"/>
      <w:bookmarkEnd w:id="144"/>
      <w:bookmarkEnd w:id="145"/>
    </w:p>
    <w:p>
      <w:pPr>
        <w:pStyle w:val="2"/>
        <w:rPr>
          <w:rStyle w:val="26"/>
          <w:rFonts w:hint="eastAsia" w:ascii="仿宋" w:hAnsi="仿宋" w:eastAsia="仿宋"/>
          <w:b w:val="0"/>
          <w:bCs w:val="0"/>
          <w:lang w:val="en-US" w:eastAsia="zh-CN"/>
        </w:rPr>
      </w:pPr>
      <w:r>
        <w:rPr>
          <w:rStyle w:val="26"/>
          <w:rFonts w:hint="eastAsia" w:ascii="仿宋" w:hAnsi="仿宋" w:eastAsia="仿宋"/>
          <w:b w:val="0"/>
          <w:bCs w:val="0"/>
          <w:lang w:eastAsia="zh-CN"/>
        </w:rPr>
        <w:t>五、财政拨款支出决算明细表</w:t>
      </w:r>
    </w:p>
    <w:p>
      <w:pPr>
        <w:pStyle w:val="2"/>
        <w:rPr>
          <w:rStyle w:val="26"/>
          <w:rFonts w:hint="eastAsia" w:ascii="仿宋" w:hAnsi="仿宋" w:eastAsia="仿宋"/>
          <w:b w:val="0"/>
          <w:bCs w:val="0"/>
          <w:lang w:eastAsia="zh-CN"/>
        </w:rPr>
      </w:pPr>
      <w:bookmarkStart w:id="146" w:name="_Toc24559"/>
      <w:bookmarkStart w:id="147" w:name="_Toc9780"/>
      <w:bookmarkStart w:id="148" w:name="_Toc15396624"/>
      <w:r>
        <w:rPr>
          <w:rStyle w:val="26"/>
          <w:rFonts w:hint="eastAsia" w:ascii="仿宋" w:hAnsi="仿宋" w:eastAsia="仿宋"/>
          <w:b w:val="0"/>
          <w:bCs w:val="0"/>
          <w:lang w:eastAsia="zh-CN"/>
        </w:rPr>
        <w:t>六、一般公共预算财政拨款支出决算表</w:t>
      </w:r>
      <w:bookmarkEnd w:id="146"/>
      <w:bookmarkEnd w:id="147"/>
      <w:bookmarkEnd w:id="148"/>
    </w:p>
    <w:p>
      <w:pPr>
        <w:pStyle w:val="2"/>
        <w:rPr>
          <w:rStyle w:val="26"/>
          <w:rFonts w:hint="eastAsia" w:ascii="仿宋" w:hAnsi="仿宋" w:eastAsia="仿宋"/>
          <w:b w:val="0"/>
          <w:bCs w:val="0"/>
          <w:lang w:eastAsia="zh-CN"/>
        </w:rPr>
      </w:pPr>
      <w:bookmarkStart w:id="149" w:name="_Toc15396625"/>
      <w:bookmarkStart w:id="150" w:name="_Toc5288"/>
      <w:bookmarkStart w:id="151" w:name="_Toc16670"/>
      <w:r>
        <w:rPr>
          <w:rStyle w:val="26"/>
          <w:rFonts w:hint="eastAsia" w:ascii="仿宋" w:hAnsi="仿宋" w:eastAsia="仿宋"/>
          <w:b w:val="0"/>
          <w:bCs w:val="0"/>
          <w:lang w:eastAsia="zh-CN"/>
        </w:rPr>
        <w:t>七、一般公共预算财政拨款支出决算明细表</w:t>
      </w:r>
      <w:bookmarkEnd w:id="149"/>
      <w:bookmarkEnd w:id="150"/>
      <w:bookmarkEnd w:id="151"/>
    </w:p>
    <w:p>
      <w:pPr>
        <w:pStyle w:val="2"/>
        <w:rPr>
          <w:rStyle w:val="26"/>
          <w:rFonts w:hint="eastAsia" w:ascii="仿宋" w:hAnsi="仿宋" w:eastAsia="仿宋"/>
          <w:b w:val="0"/>
          <w:bCs w:val="0"/>
          <w:lang w:eastAsia="zh-CN"/>
        </w:rPr>
      </w:pPr>
      <w:bookmarkStart w:id="152" w:name="_Toc1340"/>
      <w:bookmarkStart w:id="153" w:name="_Toc558"/>
      <w:bookmarkStart w:id="154" w:name="_Toc15396626"/>
      <w:r>
        <w:rPr>
          <w:rStyle w:val="26"/>
          <w:rFonts w:hint="eastAsia" w:ascii="仿宋" w:hAnsi="仿宋" w:eastAsia="仿宋"/>
          <w:b w:val="0"/>
          <w:bCs w:val="0"/>
          <w:lang w:eastAsia="zh-CN"/>
        </w:rPr>
        <w:t>八、一般公共预算财政拨款基本支出决算表</w:t>
      </w:r>
      <w:bookmarkEnd w:id="152"/>
      <w:bookmarkEnd w:id="153"/>
      <w:bookmarkEnd w:id="154"/>
    </w:p>
    <w:p>
      <w:pPr>
        <w:pStyle w:val="2"/>
        <w:rPr>
          <w:rStyle w:val="26"/>
          <w:rFonts w:hint="eastAsia" w:ascii="仿宋" w:hAnsi="仿宋" w:eastAsia="仿宋"/>
          <w:b w:val="0"/>
          <w:bCs w:val="0"/>
          <w:lang w:eastAsia="zh-CN"/>
        </w:rPr>
      </w:pPr>
      <w:bookmarkStart w:id="155" w:name="_Toc15396627"/>
      <w:bookmarkStart w:id="156" w:name="_Toc23914"/>
      <w:bookmarkStart w:id="157" w:name="_Toc31445"/>
      <w:r>
        <w:rPr>
          <w:rStyle w:val="26"/>
          <w:rFonts w:hint="eastAsia" w:ascii="仿宋" w:hAnsi="仿宋" w:eastAsia="仿宋"/>
          <w:b w:val="0"/>
          <w:bCs w:val="0"/>
          <w:lang w:eastAsia="zh-CN"/>
        </w:rPr>
        <w:t>九、一般公共预算财政拨款项目支出决算表</w:t>
      </w:r>
      <w:bookmarkEnd w:id="155"/>
      <w:bookmarkEnd w:id="156"/>
      <w:bookmarkEnd w:id="157"/>
    </w:p>
    <w:p>
      <w:pPr>
        <w:pStyle w:val="2"/>
        <w:rPr>
          <w:rStyle w:val="26"/>
          <w:rFonts w:hint="eastAsia" w:ascii="仿宋" w:hAnsi="仿宋" w:eastAsia="仿宋"/>
          <w:b w:val="0"/>
          <w:bCs w:val="0"/>
          <w:lang w:eastAsia="zh-CN"/>
        </w:rPr>
      </w:pPr>
      <w:r>
        <w:rPr>
          <w:rStyle w:val="26"/>
          <w:rFonts w:hint="eastAsia" w:ascii="仿宋" w:hAnsi="仿宋" w:eastAsia="仿宋"/>
          <w:b w:val="0"/>
          <w:bCs w:val="0"/>
          <w:lang w:eastAsia="zh-CN"/>
        </w:rPr>
        <w:t>十、一般公共预算财政拨款“三公”经费支出决算表</w:t>
      </w:r>
    </w:p>
    <w:p>
      <w:pPr>
        <w:pStyle w:val="2"/>
        <w:rPr>
          <w:rStyle w:val="26"/>
          <w:rFonts w:hint="eastAsia" w:ascii="仿宋" w:hAnsi="仿宋" w:eastAsia="仿宋"/>
          <w:b w:val="0"/>
          <w:bCs w:val="0"/>
          <w:lang w:eastAsia="zh-CN"/>
        </w:rPr>
      </w:pPr>
      <w:r>
        <w:rPr>
          <w:rStyle w:val="26"/>
          <w:rFonts w:hint="eastAsia" w:ascii="仿宋" w:hAnsi="仿宋" w:eastAsia="仿宋"/>
          <w:b w:val="0"/>
          <w:bCs w:val="0"/>
          <w:lang w:eastAsia="zh-CN"/>
        </w:rPr>
        <w:t>十一、政府性基金预算财政拨款收入支出决算表</w:t>
      </w:r>
    </w:p>
    <w:p>
      <w:pPr>
        <w:pStyle w:val="2"/>
        <w:rPr>
          <w:rStyle w:val="26"/>
          <w:rFonts w:hint="eastAsia" w:ascii="仿宋" w:hAnsi="仿宋" w:eastAsia="仿宋"/>
          <w:b w:val="0"/>
          <w:bCs w:val="0"/>
          <w:lang w:eastAsia="zh-CN"/>
        </w:rPr>
      </w:pPr>
      <w:r>
        <w:rPr>
          <w:rStyle w:val="26"/>
          <w:rFonts w:hint="eastAsia" w:ascii="仿宋" w:hAnsi="仿宋" w:eastAsia="仿宋"/>
          <w:b w:val="0"/>
          <w:bCs w:val="0"/>
          <w:lang w:eastAsia="zh-CN"/>
        </w:rPr>
        <w:t>十二、政府性基金预算财政拨款“三公”经费支出决算表</w:t>
      </w:r>
    </w:p>
    <w:p>
      <w:pPr>
        <w:pStyle w:val="2"/>
        <w:rPr>
          <w:rStyle w:val="26"/>
          <w:rFonts w:hint="eastAsia" w:ascii="仿宋" w:hAnsi="仿宋" w:eastAsia="仿宋"/>
          <w:b w:val="0"/>
          <w:bCs w:val="0"/>
          <w:lang w:eastAsia="zh-CN"/>
        </w:rPr>
      </w:pPr>
      <w:r>
        <w:rPr>
          <w:rStyle w:val="26"/>
          <w:rFonts w:hint="eastAsia" w:ascii="仿宋" w:hAnsi="仿宋" w:eastAsia="仿宋"/>
          <w:b w:val="0"/>
          <w:bCs w:val="0"/>
          <w:lang w:eastAsia="zh-CN"/>
        </w:rPr>
        <w:t>十三、国有资本经营预算财政拨款收入支出决算表</w:t>
      </w:r>
    </w:p>
    <w:p>
      <w:pPr>
        <w:pStyle w:val="2"/>
        <w:rPr>
          <w:rStyle w:val="26"/>
          <w:rFonts w:hint="eastAsia" w:ascii="仿宋" w:hAnsi="仿宋" w:eastAsia="仿宋"/>
          <w:b w:val="0"/>
          <w:bCs w:val="0"/>
          <w:lang w:eastAsia="zh-CN"/>
        </w:rPr>
      </w:pPr>
      <w:r>
        <w:rPr>
          <w:rStyle w:val="26"/>
          <w:rFonts w:hint="eastAsia" w:ascii="仿宋" w:hAnsi="仿宋" w:eastAsia="仿宋"/>
          <w:b w:val="0"/>
          <w:bCs w:val="0"/>
          <w:lang w:eastAsia="zh-CN"/>
        </w:rPr>
        <w:t>十四、国有资本经营预算财政拨款支出决算表</w:t>
      </w:r>
    </w:p>
    <w:sectPr>
      <w:headerReference r:id="rId5" w:type="default"/>
      <w:footerReference r:id="rId6"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E8495E8A"/>
    <w:multiLevelType w:val="singleLevel"/>
    <w:tmpl w:val="E8495E8A"/>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4CFDF35"/>
    <w:multiLevelType w:val="singleLevel"/>
    <w:tmpl w:val="14CFDF35"/>
    <w:lvl w:ilvl="0" w:tentative="0">
      <w:start w:val="1"/>
      <w:numFmt w:val="chineseCounting"/>
      <w:suff w:val="nothing"/>
      <w:lvlText w:val="（%1）"/>
      <w:lvlJc w:val="left"/>
      <w:rPr>
        <w:rFonts w:hint="eastAsia"/>
      </w:rPr>
    </w:lvl>
  </w:abstractNum>
  <w:abstractNum w:abstractNumId="5">
    <w:nsid w:val="202D6705"/>
    <w:multiLevelType w:val="singleLevel"/>
    <w:tmpl w:val="202D6705"/>
    <w:lvl w:ilvl="0" w:tentative="0">
      <w:start w:val="1"/>
      <w:numFmt w:val="chineseCounting"/>
      <w:suff w:val="nothing"/>
      <w:lvlText w:val="（%1）"/>
      <w:lvlJc w:val="left"/>
      <w:rPr>
        <w:rFonts w:hint="eastAsia"/>
      </w:rPr>
    </w:lvl>
  </w:abstractNum>
  <w:abstractNum w:abstractNumId="6">
    <w:nsid w:val="3064A595"/>
    <w:multiLevelType w:val="singleLevel"/>
    <w:tmpl w:val="3064A595"/>
    <w:lvl w:ilvl="0" w:tentative="0">
      <w:start w:val="1"/>
      <w:numFmt w:val="chineseCounting"/>
      <w:suff w:val="nothing"/>
      <w:lvlText w:val="%1、"/>
      <w:lvlJc w:val="left"/>
      <w:rPr>
        <w:rFonts w:hint="eastAsia"/>
      </w:rPr>
    </w:lvl>
  </w:abstractNum>
  <w:abstractNum w:abstractNumId="7">
    <w:nsid w:val="4CECB37B"/>
    <w:multiLevelType w:val="singleLevel"/>
    <w:tmpl w:val="4CECB37B"/>
    <w:lvl w:ilvl="0" w:tentative="0">
      <w:start w:val="1"/>
      <w:numFmt w:val="decimal"/>
      <w:suff w:val="nothing"/>
      <w:lvlText w:val="（%1）"/>
      <w:lvlJc w:val="left"/>
    </w:lvl>
  </w:abstractNum>
  <w:num w:numId="1">
    <w:abstractNumId w:val="7"/>
  </w:num>
  <w:num w:numId="2">
    <w:abstractNumId w:val="3"/>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YjFmMzQzNzIxNTVlNTUyMWMxYTBjMzA4ZGM1OG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1AF2"/>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836FA"/>
    <w:rsid w:val="019610AF"/>
    <w:rsid w:val="03F721BB"/>
    <w:rsid w:val="04046712"/>
    <w:rsid w:val="040C368D"/>
    <w:rsid w:val="06E20C69"/>
    <w:rsid w:val="0758083F"/>
    <w:rsid w:val="09157201"/>
    <w:rsid w:val="0A2032A3"/>
    <w:rsid w:val="0AD2388C"/>
    <w:rsid w:val="0CCB2260"/>
    <w:rsid w:val="0CD024A7"/>
    <w:rsid w:val="0DEE7E74"/>
    <w:rsid w:val="0EB950F3"/>
    <w:rsid w:val="0FD25D04"/>
    <w:rsid w:val="10C055FF"/>
    <w:rsid w:val="112365CA"/>
    <w:rsid w:val="118107EC"/>
    <w:rsid w:val="11EC3632"/>
    <w:rsid w:val="13E71942"/>
    <w:rsid w:val="1489566A"/>
    <w:rsid w:val="150422ED"/>
    <w:rsid w:val="155A7542"/>
    <w:rsid w:val="16892E1D"/>
    <w:rsid w:val="16BB723D"/>
    <w:rsid w:val="173A0F92"/>
    <w:rsid w:val="18015F3F"/>
    <w:rsid w:val="195427D6"/>
    <w:rsid w:val="1BB902BE"/>
    <w:rsid w:val="1BE8440E"/>
    <w:rsid w:val="1D155CEE"/>
    <w:rsid w:val="1DE3711C"/>
    <w:rsid w:val="1E5D6D0A"/>
    <w:rsid w:val="1EDC0CE3"/>
    <w:rsid w:val="1F454F9A"/>
    <w:rsid w:val="20F57F95"/>
    <w:rsid w:val="21110711"/>
    <w:rsid w:val="23E1632F"/>
    <w:rsid w:val="240371BF"/>
    <w:rsid w:val="24047B0B"/>
    <w:rsid w:val="247D4544"/>
    <w:rsid w:val="24D26815"/>
    <w:rsid w:val="250D49C3"/>
    <w:rsid w:val="25BC3BFB"/>
    <w:rsid w:val="26C7451D"/>
    <w:rsid w:val="27842671"/>
    <w:rsid w:val="27E80D11"/>
    <w:rsid w:val="28043F71"/>
    <w:rsid w:val="282079FB"/>
    <w:rsid w:val="29600580"/>
    <w:rsid w:val="29FD04D3"/>
    <w:rsid w:val="2ABE7A3E"/>
    <w:rsid w:val="2ACB7A8D"/>
    <w:rsid w:val="2ACF1FA2"/>
    <w:rsid w:val="2B2D33A0"/>
    <w:rsid w:val="2D2C18D7"/>
    <w:rsid w:val="30600240"/>
    <w:rsid w:val="31507FA6"/>
    <w:rsid w:val="319F7F4E"/>
    <w:rsid w:val="33CC4EE1"/>
    <w:rsid w:val="35F567B8"/>
    <w:rsid w:val="35F94FE3"/>
    <w:rsid w:val="36A233A7"/>
    <w:rsid w:val="36FC5A1C"/>
    <w:rsid w:val="37AB6EF3"/>
    <w:rsid w:val="385E2D01"/>
    <w:rsid w:val="38CC54FB"/>
    <w:rsid w:val="391E10A1"/>
    <w:rsid w:val="3BAB70E1"/>
    <w:rsid w:val="3C0C0783"/>
    <w:rsid w:val="3CE428CD"/>
    <w:rsid w:val="3EA10484"/>
    <w:rsid w:val="40560BC5"/>
    <w:rsid w:val="42AA334D"/>
    <w:rsid w:val="44E64193"/>
    <w:rsid w:val="460A19A5"/>
    <w:rsid w:val="46130C84"/>
    <w:rsid w:val="464610AA"/>
    <w:rsid w:val="46B15F05"/>
    <w:rsid w:val="47442CC0"/>
    <w:rsid w:val="47713B1D"/>
    <w:rsid w:val="49010D02"/>
    <w:rsid w:val="493C27E9"/>
    <w:rsid w:val="496F39ED"/>
    <w:rsid w:val="499C7B6E"/>
    <w:rsid w:val="49FF41D3"/>
    <w:rsid w:val="4A555432"/>
    <w:rsid w:val="4BE068DB"/>
    <w:rsid w:val="4BF6002B"/>
    <w:rsid w:val="4C533EEE"/>
    <w:rsid w:val="4D2D3B99"/>
    <w:rsid w:val="4DDD416A"/>
    <w:rsid w:val="4ECE2238"/>
    <w:rsid w:val="4F0E5C48"/>
    <w:rsid w:val="50CC18DC"/>
    <w:rsid w:val="50D23644"/>
    <w:rsid w:val="51FE1B1E"/>
    <w:rsid w:val="5298491B"/>
    <w:rsid w:val="54A9186B"/>
    <w:rsid w:val="564163E2"/>
    <w:rsid w:val="572872B1"/>
    <w:rsid w:val="579C4900"/>
    <w:rsid w:val="57B679F5"/>
    <w:rsid w:val="58014E83"/>
    <w:rsid w:val="58165F38"/>
    <w:rsid w:val="5831356E"/>
    <w:rsid w:val="583F158D"/>
    <w:rsid w:val="5A395053"/>
    <w:rsid w:val="5BC361AC"/>
    <w:rsid w:val="5C4961E2"/>
    <w:rsid w:val="5CB44EDB"/>
    <w:rsid w:val="5D7840B3"/>
    <w:rsid w:val="5FF817FB"/>
    <w:rsid w:val="60092DC5"/>
    <w:rsid w:val="60A036F5"/>
    <w:rsid w:val="611E7E7F"/>
    <w:rsid w:val="62B30F42"/>
    <w:rsid w:val="63094469"/>
    <w:rsid w:val="633D4717"/>
    <w:rsid w:val="639509DB"/>
    <w:rsid w:val="63A52F31"/>
    <w:rsid w:val="63BB7376"/>
    <w:rsid w:val="63C85374"/>
    <w:rsid w:val="63D9570D"/>
    <w:rsid w:val="643C19E8"/>
    <w:rsid w:val="64694145"/>
    <w:rsid w:val="64825603"/>
    <w:rsid w:val="64AA291A"/>
    <w:rsid w:val="64CA39A1"/>
    <w:rsid w:val="650F6997"/>
    <w:rsid w:val="68683AC7"/>
    <w:rsid w:val="68C71D58"/>
    <w:rsid w:val="69841F77"/>
    <w:rsid w:val="69A166BF"/>
    <w:rsid w:val="69D132AC"/>
    <w:rsid w:val="6A5E5F8B"/>
    <w:rsid w:val="6AE3463F"/>
    <w:rsid w:val="6B190232"/>
    <w:rsid w:val="6B71380A"/>
    <w:rsid w:val="6B94618A"/>
    <w:rsid w:val="6C197CA0"/>
    <w:rsid w:val="6C4A05C8"/>
    <w:rsid w:val="6D346621"/>
    <w:rsid w:val="6D5D3C94"/>
    <w:rsid w:val="6E1B7061"/>
    <w:rsid w:val="6FFA5088"/>
    <w:rsid w:val="70CA6520"/>
    <w:rsid w:val="716615FB"/>
    <w:rsid w:val="71737292"/>
    <w:rsid w:val="719D34B8"/>
    <w:rsid w:val="72734D90"/>
    <w:rsid w:val="727355FE"/>
    <w:rsid w:val="73831456"/>
    <w:rsid w:val="73C36894"/>
    <w:rsid w:val="73F9054D"/>
    <w:rsid w:val="757C7C5D"/>
    <w:rsid w:val="79101DE7"/>
    <w:rsid w:val="798D5574"/>
    <w:rsid w:val="7B31787E"/>
    <w:rsid w:val="7B856B2C"/>
    <w:rsid w:val="7CCA50FE"/>
    <w:rsid w:val="7D9936AD"/>
    <w:rsid w:val="7E0B392B"/>
    <w:rsid w:val="7F5939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36130;&#21153;&#20915;&#31639;-&#27700;&#25991;&#38431;-&#20844;&#243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36130;&#21153;&#20915;&#31639;-&#27700;&#25991;&#38431;-&#20844;&#243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36130;&#21153;&#20915;&#31639;-&#27700;&#25991;&#38431;-&#20844;&#243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36130;&#21153;&#20915;&#31639;-&#27700;&#25991;&#38431;-&#20844;&#243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36130;&#21153;&#20915;&#31639;-&#27700;&#25991;&#38431;-&#20844;&#243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4037;&#20316;&#25991;&#20214;&#22841;\&#39044;&#31639;&#12289;&#20915;&#31639;&#20844;&#24320;\2020&#24180;&#20915;&#31639;&#20844;&#24320;-&#24050;&#19978;&#25253;&#37329;&#36130;&#32593;\&#36130;&#21153;&#20915;&#31639;-&#27700;&#25991;&#38431;-&#20844;&#24320;&#39292;&#29366;&#22270;&#12289;&#26609;&#29366;&#22270;---&#22522;&#30784;&#36164;&#26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近两年收、支决算总计变动情况</a:t>
            </a:r>
            <a:endParaRPr b="1"/>
          </a:p>
        </c:rich>
      </c:tx>
      <c:layout>
        <c:manualLayout>
          <c:xMode val="edge"/>
          <c:yMode val="edge"/>
          <c:x val="0.20625"/>
          <c:y val="0.0347222222222222"/>
        </c:manualLayout>
      </c:layout>
      <c:overlay val="0"/>
      <c:spPr>
        <a:noFill/>
        <a:ln>
          <a:noFill/>
        </a:ln>
        <a:effectLst/>
      </c:spPr>
    </c:title>
    <c:autoTitleDeleted val="0"/>
    <c:plotArea>
      <c:layout/>
      <c:barChart>
        <c:barDir val="col"/>
        <c:grouping val="clustered"/>
        <c:varyColors val="0"/>
        <c:ser>
          <c:idx val="0"/>
          <c:order val="0"/>
          <c:tx>
            <c:strRef>
              <c:f>"2019"</c:f>
              <c:strCache>
                <c:ptCount val="1"/>
                <c:pt idx="0">
                  <c:v>2019</c:v>
                </c:pt>
              </c:strCache>
            </c:strRef>
          </c:tx>
          <c:spPr>
            <a:gradFill>
              <a:gsLst>
                <a:gs pos="0">
                  <a:srgbClr val="14CD68"/>
                </a:gs>
                <a:gs pos="100000">
                  <a:srgbClr val="035C7D"/>
                </a:gs>
              </a:gsLst>
              <a:path path="circle">
                <a:fillToRect l="100000" t="100000"/>
              </a:path>
              <a:tileRect r="-100000" b="-100000"/>
            </a:gradFill>
            <a:ln>
              <a:noFill/>
            </a:ln>
            <a:effectLst/>
          </c:spPr>
          <c:invertIfNegative val="0"/>
          <c:dLbls>
            <c:dLbl>
              <c:idx val="0"/>
              <c:layout>
                <c:manualLayout>
                  <c:x val="-0.00208333333333333"/>
                  <c:y val="0"/>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7506.15</a:t>
                    </a:r>
                    <a:endParaRPr b="1"/>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Sheet1!$A$47:$B$47</c15:sqref>
                  </c15:fullRef>
                </c:ext>
              </c:extLst>
              <c:f>'[财务决算-水文队-公开.xlsx]Sheet1'!$B$47</c:f>
              <c:numCache>
                <c:formatCode>0.00_ </c:formatCode>
                <c:ptCount val="1"/>
                <c:pt idx="0">
                  <c:v>6349.63</c:v>
                </c:pt>
              </c:numCache>
            </c:numRef>
          </c:val>
        </c:ser>
        <c:ser>
          <c:idx val="1"/>
          <c:order val="1"/>
          <c:tx>
            <c:strRef>
              <c:f>'[财务决算-水文队-公开.xlsx]Sheet1'!$A$48</c:f>
              <c:strCache>
                <c:ptCount val="1"/>
                <c:pt idx="0">
                  <c:v>2020</c:v>
                </c:pt>
              </c:strCache>
            </c:strRef>
          </c:tx>
          <c:spPr>
            <a:solidFill>
              <a:schemeClr val="accent6">
                <a:lumMod val="75000"/>
              </a:schemeClr>
            </a:solidFill>
            <a:ln>
              <a:noFill/>
            </a:ln>
            <a:effectLst/>
          </c:spPr>
          <c:invertIfNegative val="0"/>
          <c:dPt>
            <c:idx val="0"/>
            <c:invertIfNegative val="0"/>
            <c:bubble3D val="0"/>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11127.11</a:t>
                    </a:r>
                    <a:endParaRPr b="1"/>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Sheet1!$A$48:$B$48</c15:sqref>
                  </c15:fullRef>
                </c:ext>
              </c:extLst>
              <c:f>'[财务决算-水文队-公开.xlsx]Sheet1'!$B$48</c:f>
              <c:numCache>
                <c:formatCode>0.00_ </c:formatCode>
                <c:ptCount val="1"/>
                <c:pt idx="0">
                  <c:v>10094.96</c:v>
                </c:pt>
              </c:numCache>
            </c:numRef>
          </c:val>
        </c:ser>
        <c:dLbls>
          <c:showLegendKey val="0"/>
          <c:showVal val="1"/>
          <c:showCatName val="0"/>
          <c:showSerName val="0"/>
          <c:showPercent val="0"/>
          <c:showBubbleSize val="0"/>
        </c:dLbls>
        <c:gapWidth val="500"/>
        <c:overlap val="-100"/>
        <c:axId val="677507277"/>
        <c:axId val="466075150"/>
      </c:barChart>
      <c:catAx>
        <c:axId val="67750727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66075150"/>
        <c:crosses val="autoZero"/>
        <c:auto val="1"/>
        <c:lblAlgn val="ctr"/>
        <c:lblOffset val="100"/>
        <c:noMultiLvlLbl val="0"/>
      </c:catAx>
      <c:valAx>
        <c:axId val="46607515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67750727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299305555555556"/>
          <c:y val="0.855324074074074"/>
          <c:w val="0.4875"/>
          <c:h val="0.131944444444444"/>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不同结构收入占比</a:t>
            </a:r>
            <a:endParaRPr b="1"/>
          </a:p>
        </c:rich>
      </c:tx>
      <c:layout>
        <c:manualLayout>
          <c:xMode val="edge"/>
          <c:yMode val="edge"/>
          <c:x val="0.0220833333333333"/>
          <c:y val="0.0451388888888889"/>
        </c:manualLayout>
      </c:layout>
      <c:overlay val="0"/>
      <c:spPr>
        <a:noFill/>
        <a:ln>
          <a:noFill/>
        </a:ln>
        <a:effectLst/>
      </c:spPr>
    </c:title>
    <c:autoTitleDeleted val="0"/>
    <c:plotArea>
      <c:layout/>
      <c:pieChart>
        <c:varyColors val="1"/>
        <c:ser>
          <c:idx val="0"/>
          <c:order val="0"/>
          <c:tx>
            <c:strRef>
              <c:f>'[财务决算-水文队-公开.xlsx]2'!$C$3</c:f>
              <c:strCache>
                <c:ptCount val="1"/>
                <c:pt idx="0">
                  <c:v>比率</c:v>
                </c:pt>
              </c:strCache>
            </c:strRef>
          </c:tx>
          <c:spPr/>
          <c:explosion val="0"/>
          <c:dPt>
            <c:idx val="0"/>
            <c:bubble3D val="0"/>
            <c:explosion val="0"/>
            <c:spPr>
              <a:solidFill>
                <a:schemeClr val="tx2">
                  <a:lumMod val="40000"/>
                  <a:lumOff val="60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05654761904762"/>
                  <c:y val="-0.3382800608828"/>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0479166666666667"/>
                  <c:y val="-0.020833333333333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0895833333333333"/>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'[财务决算-水文队-公开.xlsx]2'!$B$4:$B$6</c:f>
              <c:strCache>
                <c:ptCount val="3"/>
                <c:pt idx="0">
                  <c:v>财政拨款收入</c:v>
                </c:pt>
                <c:pt idx="1">
                  <c:v>经营收入</c:v>
                </c:pt>
                <c:pt idx="2">
                  <c:v>其他收入</c:v>
                </c:pt>
              </c:strCache>
            </c:strRef>
          </c:cat>
          <c:val>
            <c:numRef>
              <c:f>'[财务决算-水文队-公开.xlsx]2'!$C$4:$C$6</c:f>
              <c:numCache>
                <c:formatCode>0.00%</c:formatCode>
                <c:ptCount val="3"/>
                <c:pt idx="0">
                  <c:v>0.9732</c:v>
                </c:pt>
                <c:pt idx="1">
                  <c:v>0.0112</c:v>
                </c:pt>
                <c:pt idx="2">
                  <c:v>0.0156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b="1">
                <a:solidFill>
                  <a:schemeClr val="tx1"/>
                </a:solidFill>
              </a:rPr>
              <a:t>支出决算分类占比</a:t>
            </a:r>
            <a:endParaRPr b="1">
              <a:solidFill>
                <a:schemeClr val="tx1"/>
              </a:solidFill>
            </a:endParaRPr>
          </a:p>
        </c:rich>
      </c:tx>
      <c:layout>
        <c:manualLayout>
          <c:xMode val="edge"/>
          <c:yMode val="edge"/>
          <c:x val="0.0134608126808404"/>
          <c:y val="0.0260586319218241"/>
        </c:manualLayout>
      </c:layout>
      <c:overlay val="0"/>
      <c:spPr>
        <a:noFill/>
        <a:ln>
          <a:noFill/>
        </a:ln>
        <a:effectLst/>
      </c:spPr>
    </c:title>
    <c:autoTitleDeleted val="0"/>
    <c:plotArea>
      <c:layout/>
      <c:pieChart>
        <c:varyColors val="1"/>
        <c:ser>
          <c:idx val="0"/>
          <c:order val="0"/>
          <c:tx>
            <c:strRef>
              <c:f>'[财务决算-水文队-公开.xlsx]Sheet1'!$C$23:$C$24</c:f>
              <c:strCache>
                <c:ptCount val="1"/>
                <c:pt idx="0">
                  <c:v>支出决算分类占比 比率</c:v>
                </c:pt>
              </c:strCache>
            </c:strRef>
          </c:tx>
          <c:spPr>
            <a:solidFill>
              <a:srgbClr val="1898B4"/>
            </a:solidFill>
          </c:spPr>
          <c:explosion val="0"/>
          <c:dPt>
            <c:idx val="0"/>
            <c:bubble3D val="0"/>
            <c:spPr>
              <a:solidFill>
                <a:srgbClr val="1898B4"/>
              </a:solidFill>
              <a:ln w="19050">
                <a:solidFill>
                  <a:schemeClr val="lt1"/>
                </a:solidFill>
              </a:ln>
              <a:effectLst/>
            </c:spPr>
          </c:dPt>
          <c:dPt>
            <c:idx val="1"/>
            <c:bubble3D val="0"/>
            <c:explosion val="5"/>
            <c:spPr>
              <a:solidFill>
                <a:schemeClr val="accent6">
                  <a:lumMod val="60000"/>
                  <a:lumOff val="40000"/>
                </a:schemeClr>
              </a:solidFill>
              <a:ln w="19050">
                <a:solidFill>
                  <a:schemeClr val="lt1"/>
                </a:solidFill>
              </a:ln>
              <a:effectLst/>
            </c:spPr>
          </c:dPt>
          <c:dPt>
            <c:idx val="2"/>
            <c:bubble3D val="0"/>
            <c:spPr>
              <a:gradFill>
                <a:gsLst>
                  <a:gs pos="13000">
                    <a:srgbClr val="E03E3E">
                      <a:alpha val="100000"/>
                    </a:srgbClr>
                  </a:gs>
                  <a:gs pos="40000">
                    <a:srgbClr val="A23232">
                      <a:alpha val="100000"/>
                    </a:srgbClr>
                  </a:gs>
                  <a:gs pos="26000">
                    <a:srgbClr val="C13838">
                      <a:alpha val="100000"/>
                    </a:srgbClr>
                  </a:gs>
                  <a:gs pos="0">
                    <a:srgbClr val="FE4444"/>
                  </a:gs>
                  <a:gs pos="100000">
                    <a:srgbClr val="832B2B"/>
                  </a:gs>
                </a:gsLst>
                <a:path path="circle">
                  <a:fillToRect l="100000" t="100000"/>
                </a:path>
                <a:tileRect r="-100000" b="-100000"/>
              </a:gradFill>
              <a:ln w="19050">
                <a:solidFill>
                  <a:schemeClr val="lt1"/>
                </a:solidFill>
              </a:ln>
              <a:effectLst/>
            </c:spPr>
          </c:dPt>
          <c:dLbls>
            <c:dLbl>
              <c:idx val="0"/>
              <c:layout>
                <c:manualLayout>
                  <c:x val="0.00181510164569216"/>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a:solidFill>
                          <a:schemeClr val="tx1"/>
                        </a:solidFill>
                      </a:rPr>
                      <a:t>基本支出</a:t>
                    </a:r>
                    <a:endParaRPr>
                      <a:solidFill>
                        <a:schemeClr val="tx1"/>
                      </a:solidFill>
                    </a:endParaRPr>
                  </a:p>
                  <a:p>
                    <a:pPr defTabSz="914400">
                      <a:defRPr lang="zh-CN" sz="900" b="0" i="0" u="none" strike="noStrike" kern="1200" baseline="0">
                        <a:solidFill>
                          <a:schemeClr val="tx1"/>
                        </a:solidFill>
                        <a:latin typeface="+mn-lt"/>
                        <a:ea typeface="+mn-ea"/>
                        <a:cs typeface="+mn-cs"/>
                      </a:defRPr>
                    </a:pPr>
                    <a:r>
                      <a:rPr>
                        <a:solidFill>
                          <a:schemeClr val="tx1"/>
                        </a:solidFill>
                      </a:rPr>
                      <a:t> 61.35% </a:t>
                    </a:r>
                    <a:endParaRPr>
                      <a:solidFill>
                        <a:schemeClr val="tx1"/>
                      </a:solidFill>
                    </a:endParaRP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'[财务决算-水文队-公开.xlsx]Sheet1'!$B$25:$B$27</c:f>
              <c:strCache>
                <c:ptCount val="3"/>
                <c:pt idx="0">
                  <c:v>基本支出</c:v>
                </c:pt>
                <c:pt idx="1">
                  <c:v>项目支出</c:v>
                </c:pt>
                <c:pt idx="2">
                  <c:v>经营支出</c:v>
                </c:pt>
              </c:strCache>
            </c:strRef>
          </c:cat>
          <c:val>
            <c:numRef>
              <c:f>'[财务决算-水文队-公开.xlsx]Sheet1'!$C$25:$C$27</c:f>
              <c:numCache>
                <c:formatCode>0.00%</c:formatCode>
                <c:ptCount val="3"/>
                <c:pt idx="0">
                  <c:v>0.6135</c:v>
                </c:pt>
                <c:pt idx="1">
                  <c:v>0.3848</c:v>
                </c:pt>
                <c:pt idx="2">
                  <c:v>0.0017</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manualLayout>
          <c:xMode val="edge"/>
          <c:yMode val="edge"/>
          <c:x val="0.252178121974831"/>
          <c:y val="0.902559690255969"/>
          <c:w val="0.459220716360116"/>
          <c:h val="0.063024306302430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近两年财政收、支总计变动情况</a:t>
            </a:r>
            <a:endParaRPr b="1"/>
          </a:p>
        </c:rich>
      </c:tx>
      <c:layout>
        <c:manualLayout>
          <c:xMode val="edge"/>
          <c:yMode val="edge"/>
          <c:x val="0.20625"/>
          <c:y val="0.0347222222222222"/>
        </c:manualLayout>
      </c:layout>
      <c:overlay val="0"/>
      <c:spPr>
        <a:noFill/>
        <a:ln>
          <a:noFill/>
        </a:ln>
        <a:effectLst/>
      </c:spPr>
    </c:title>
    <c:autoTitleDeleted val="0"/>
    <c:plotArea>
      <c:layout/>
      <c:barChart>
        <c:barDir val="col"/>
        <c:grouping val="clustered"/>
        <c:varyColors val="0"/>
        <c:ser>
          <c:idx val="0"/>
          <c:order val="0"/>
          <c:tx>
            <c:strRef>
              <c:f>"2019"</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Sheet1!$A$47:$B$47</c15:sqref>
                  </c15:fullRef>
                </c:ext>
              </c:extLst>
              <c:f>'[财务决算-水文队-公开.xlsx]Sheet1'!$B$47</c:f>
              <c:numCache>
                <c:formatCode>0.00_ </c:formatCode>
                <c:ptCount val="1"/>
                <c:pt idx="0">
                  <c:v>6349.63</c:v>
                </c:pt>
              </c:numCache>
            </c:numRef>
          </c:val>
        </c:ser>
        <c:ser>
          <c:idx val="1"/>
          <c:order val="1"/>
          <c:tx>
            <c:strRef>
              <c:f>'[财务决算-水文队-公开.xlsx]Sheet1'!$A$48</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Sheet1!$A$48:$B$48</c15:sqref>
                  </c15:fullRef>
                </c:ext>
              </c:extLst>
              <c:f>'[财务决算-水文队-公开.xlsx]Sheet1'!$B$48</c:f>
              <c:numCache>
                <c:formatCode>0.00_ </c:formatCode>
                <c:ptCount val="1"/>
                <c:pt idx="0">
                  <c:v>10094.96</c:v>
                </c:pt>
              </c:numCache>
            </c:numRef>
          </c:val>
        </c:ser>
        <c:dLbls>
          <c:showLegendKey val="0"/>
          <c:showVal val="1"/>
          <c:showCatName val="0"/>
          <c:showSerName val="0"/>
          <c:showPercent val="0"/>
          <c:showBubbleSize val="0"/>
        </c:dLbls>
        <c:gapWidth val="500"/>
        <c:overlap val="-100"/>
        <c:axId val="677507277"/>
        <c:axId val="466075150"/>
      </c:barChart>
      <c:catAx>
        <c:axId val="67750727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66075150"/>
        <c:crosses val="autoZero"/>
        <c:auto val="1"/>
        <c:lblAlgn val="ctr"/>
        <c:lblOffset val="100"/>
        <c:noMultiLvlLbl val="0"/>
      </c:catAx>
      <c:valAx>
        <c:axId val="466075150"/>
        <c:scaling>
          <c:orientation val="minMax"/>
        </c:scaling>
        <c:delete val="0"/>
        <c:axPos val="l"/>
        <c:majorGridlines>
          <c:spPr>
            <a:ln w="12700"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67750727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299305555555556"/>
          <c:y val="0.855324074074074"/>
          <c:w val="0.4875"/>
          <c:h val="0.131944444444444"/>
        </c:manualLayout>
      </c:layout>
      <c:overlay val="0"/>
      <c:spPr>
        <a:noFill/>
        <a:ln>
          <a:noFill/>
        </a:ln>
        <a:effectLst/>
      </c:spPr>
      <c:txPr>
        <a:bodyPr rot="0" spcFirstLastPara="0"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bg1">
          <a:lumMod val="85000"/>
        </a:schemeClr>
      </a:solidFill>
      <a:round/>
    </a:ln>
    <a:effectLst/>
  </c:spPr>
  <c:txPr>
    <a:bodyPr/>
    <a:lstStyle/>
    <a:p>
      <a:pPr>
        <a:defRPr lang="zh-CN" b="1"/>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一般财政拨款支出决算变动情况</a:t>
            </a:r>
            <a:endParaRPr b="1"/>
          </a:p>
        </c:rich>
      </c:tx>
      <c:layout>
        <c:manualLayout>
          <c:xMode val="edge"/>
          <c:yMode val="edge"/>
          <c:x val="0.20625"/>
          <c:y val="0.0347222222222222"/>
        </c:manualLayout>
      </c:layout>
      <c:overlay val="0"/>
      <c:spPr>
        <a:noFill/>
        <a:ln>
          <a:noFill/>
        </a:ln>
        <a:effectLst/>
      </c:spPr>
    </c:title>
    <c:autoTitleDeleted val="0"/>
    <c:plotArea>
      <c:layout/>
      <c:barChart>
        <c:barDir val="col"/>
        <c:grouping val="clustered"/>
        <c:varyColors val="0"/>
        <c:ser>
          <c:idx val="0"/>
          <c:order val="0"/>
          <c:tx>
            <c:strRef>
              <c:f>"2019"</c:f>
              <c:strCache>
                <c:ptCount val="1"/>
                <c:pt idx="0">
                  <c:v>2019</c:v>
                </c:pt>
              </c:strCache>
            </c:strRef>
          </c:tx>
          <c:spPr>
            <a:gradFill>
              <a:gsLst>
                <a:gs pos="0">
                  <a:srgbClr val="9EE256"/>
                </a:gs>
                <a:gs pos="100000">
                  <a:srgbClr val="52762D"/>
                </a:gs>
              </a:gsLst>
              <a:path path="circle">
                <a:fillToRect l="100000" t="100000"/>
              </a:path>
              <a:tileRect r="-100000" b="-100000"/>
            </a:gradFill>
            <a:ln>
              <a:noFill/>
            </a:ln>
            <a:effectLst/>
          </c:spPr>
          <c:invertIfNegative val="0"/>
          <c:dLbls>
            <c:dLbl>
              <c:idx val="0"/>
              <c:layout>
                <c:manualLayout>
                  <c:x val="-0.00388556810444952"/>
                  <c:y val="0"/>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lang="en-US" altLang="zh-CN" b="1"/>
                      <a:t>6349.63</a:t>
                    </a:r>
                    <a:endParaRPr lang="en-US" altLang="zh-CN" b="1"/>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Sheet1!$A$47:$B$47</c15:sqref>
                  </c15:fullRef>
                </c:ext>
              </c:extLst>
              <c:f>'[财务决算-水文队-公开.xlsx]Sheet1'!$B$47</c:f>
              <c:numCache>
                <c:formatCode>0.00_ </c:formatCode>
                <c:ptCount val="1"/>
                <c:pt idx="0">
                  <c:v>6349.63</c:v>
                </c:pt>
              </c:numCache>
            </c:numRef>
          </c:val>
        </c:ser>
        <c:ser>
          <c:idx val="1"/>
          <c:order val="1"/>
          <c:tx>
            <c:strRef>
              <c:f>'[财务决算-水文队-公开.xlsx]Sheet1'!$A$48</c:f>
              <c:strCache>
                <c:ptCount val="1"/>
                <c:pt idx="0">
                  <c:v>2020</c:v>
                </c:pt>
              </c:strCache>
            </c:strRef>
          </c:tx>
          <c:spPr>
            <a:solidFill>
              <a:schemeClr val="accent2">
                <a:lumMod val="60000"/>
                <a:lumOff val="40000"/>
              </a:schemeClr>
            </a:solidFill>
            <a:ln>
              <a:noFill/>
            </a:ln>
            <a:effectLst/>
          </c:spPr>
          <c:invertIfNegative val="0"/>
          <c:dPt>
            <c:idx val="0"/>
            <c:invertIfNegative val="0"/>
            <c:bubble3D val="0"/>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lang="en-US" altLang="zh-CN" b="1"/>
                      <a:t>10094.96</a:t>
                    </a:r>
                    <a:endParaRPr lang="en-US" altLang="zh-CN" b="1"/>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Sheet1!$A$48:$B$48</c15:sqref>
                  </c15:fullRef>
                </c:ext>
              </c:extLst>
              <c:f>'[财务决算-水文队-公开.xlsx]Sheet1'!$B$48</c:f>
              <c:numCache>
                <c:formatCode>0.00_ </c:formatCode>
                <c:ptCount val="1"/>
                <c:pt idx="0">
                  <c:v>10094.96</c:v>
                </c:pt>
              </c:numCache>
            </c:numRef>
          </c:val>
        </c:ser>
        <c:dLbls>
          <c:showLegendKey val="0"/>
          <c:showVal val="1"/>
          <c:showCatName val="0"/>
          <c:showSerName val="0"/>
          <c:showPercent val="0"/>
          <c:showBubbleSize val="0"/>
        </c:dLbls>
        <c:gapWidth val="500"/>
        <c:overlap val="-100"/>
        <c:axId val="677507277"/>
        <c:axId val="466075150"/>
      </c:barChart>
      <c:catAx>
        <c:axId val="67750727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66075150"/>
        <c:crosses val="autoZero"/>
        <c:auto val="1"/>
        <c:lblAlgn val="ctr"/>
        <c:lblOffset val="100"/>
        <c:noMultiLvlLbl val="0"/>
      </c:catAx>
      <c:valAx>
        <c:axId val="46607515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67750727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299305555555556"/>
          <c:y val="0.855324074074074"/>
          <c:w val="0.4875"/>
          <c:h val="0.131944444444444"/>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11458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65544444444444"/>
          <c:y val="0.220583333333333"/>
          <c:w val="0.352244444444444"/>
          <c:h val="0.587074074074074"/>
        </c:manualLayout>
      </c:layout>
      <c:pieChart>
        <c:varyColors val="1"/>
        <c:ser>
          <c:idx val="0"/>
          <c:order val="0"/>
          <c:tx>
            <c:strRef>
              <c:f>'[财务决算-水文队-公开饼状图、柱状图---基础资料.xlsx]1'!$C$83:$C$84</c:f>
              <c:strCache>
                <c:ptCount val="1"/>
                <c:pt idx="0">
                  <c:v>财政拨款支出 比率</c:v>
                </c:pt>
              </c:strCache>
            </c:strRef>
          </c:tx>
          <c:spPr/>
          <c:explosion val="0"/>
          <c:dPt>
            <c:idx val="0"/>
            <c:bubble3D val="0"/>
            <c:spPr>
              <a:solidFill>
                <a:schemeClr val="accent1"/>
              </a:solidFill>
              <a:ln w="19050">
                <a:solidFill>
                  <a:schemeClr val="lt1"/>
                </a:solidFill>
              </a:ln>
              <a:effectLst/>
            </c:spPr>
          </c:dPt>
          <c:dPt>
            <c:idx val="1"/>
            <c:bubble3D val="0"/>
            <c:explosion val="9"/>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1875"/>
                  <c:y val="-0.052083333333333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0270833333333333"/>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0104166666666667"/>
                  <c:y val="-0.0138888888888889"/>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0.0583333333333333"/>
                  <c:y val="-0.0868055555555556"/>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0"/>
                  <c:y val="-0.052083333333333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5"/>
              <c:layout>
                <c:manualLayout>
                  <c:x val="-0.0416666666666667"/>
                  <c:y val="0.0138888888888889"/>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'[财务决算-水文队-公开饼状图、柱状图---基础资料.xlsx]1'!$B$85:$B$90</c:f>
              <c:strCache>
                <c:ptCount val="6"/>
                <c:pt idx="0">
                  <c:v>科学技术</c:v>
                </c:pt>
                <c:pt idx="1">
                  <c:v>社会保障和就业</c:v>
                </c:pt>
                <c:pt idx="2">
                  <c:v>卫生健康</c:v>
                </c:pt>
                <c:pt idx="3">
                  <c:v>节能环保</c:v>
                </c:pt>
                <c:pt idx="4">
                  <c:v>资源勘探</c:v>
                </c:pt>
                <c:pt idx="5">
                  <c:v>住房保障</c:v>
                </c:pt>
              </c:strCache>
            </c:strRef>
          </c:cat>
          <c:val>
            <c:numRef>
              <c:f>'[财务决算-水文队-公开饼状图、柱状图---基础资料.xlsx]1'!$C$85:$C$90</c:f>
              <c:numCache>
                <c:formatCode>0.00%</c:formatCode>
                <c:ptCount val="6"/>
                <c:pt idx="0">
                  <c:v>0.0019</c:v>
                </c:pt>
                <c:pt idx="1">
                  <c:v>0.1386</c:v>
                </c:pt>
                <c:pt idx="2">
                  <c:v>0.0411</c:v>
                </c:pt>
                <c:pt idx="3">
                  <c:v>0.4106</c:v>
                </c:pt>
                <c:pt idx="4">
                  <c:v>0.3068</c:v>
                </c:pt>
                <c:pt idx="5">
                  <c:v>0.101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51</Pages>
  <Words>19125</Words>
  <Characters>20390</Characters>
  <Lines>61</Lines>
  <Paragraphs>17</Paragraphs>
  <TotalTime>7</TotalTime>
  <ScaleCrop>false</ScaleCrop>
  <LinksUpToDate>false</LinksUpToDate>
  <CharactersWithSpaces>21113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蜀秦</cp:lastModifiedBy>
  <cp:lastPrinted>2021-08-24T01:56:00Z</cp:lastPrinted>
  <dcterms:modified xsi:type="dcterms:W3CDTF">2022-11-11T02:05:57Z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A50667491F6643E2BF03A04F021AB5DE</vt:lpwstr>
  </property>
</Properties>
</file>